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B4562" w14:textId="6C851C94" w:rsidR="00357A96" w:rsidRPr="007B6D1E" w:rsidRDefault="00357A96" w:rsidP="00357A96">
      <w:pPr>
        <w:pStyle w:val="3GPPHeader"/>
        <w:spacing w:after="60"/>
        <w:rPr>
          <w:sz w:val="32"/>
          <w:szCs w:val="32"/>
        </w:rPr>
      </w:pPr>
      <w:bookmarkStart w:id="0" w:name="_Hlk16152892"/>
      <w:bookmarkStart w:id="1" w:name="_Hlk524960622"/>
      <w:r w:rsidRPr="002B28E7">
        <w:t>3GPP TSG-RAN WG1 Meeting #</w:t>
      </w:r>
      <w:r w:rsidR="004E308F" w:rsidRPr="002B28E7">
        <w:t>9</w:t>
      </w:r>
      <w:r w:rsidR="00B201D8">
        <w:t>8</w:t>
      </w:r>
      <w:r w:rsidRPr="002B28E7">
        <w:tab/>
      </w:r>
      <w:r w:rsidRPr="0084540C">
        <w:rPr>
          <w:sz w:val="32"/>
          <w:szCs w:val="32"/>
        </w:rPr>
        <w:t>R1-19</w:t>
      </w:r>
      <w:r w:rsidR="0084540C" w:rsidRPr="0084540C">
        <w:rPr>
          <w:sz w:val="32"/>
          <w:szCs w:val="32"/>
        </w:rPr>
        <w:t>09302</w:t>
      </w:r>
    </w:p>
    <w:p w14:paraId="0B11701C" w14:textId="7725AD0C" w:rsidR="00357A96" w:rsidRPr="002B28E7" w:rsidRDefault="00B201D8" w:rsidP="00357A96">
      <w:pPr>
        <w:pStyle w:val="3GPPHeader"/>
      </w:pPr>
      <w:r>
        <w:t>Prague</w:t>
      </w:r>
      <w:r w:rsidR="004E308F" w:rsidRPr="002B28E7">
        <w:t xml:space="preserve">, </w:t>
      </w:r>
      <w:r>
        <w:t>Czech Republic</w:t>
      </w:r>
      <w:r w:rsidR="004E308F" w:rsidRPr="002B28E7">
        <w:t xml:space="preserve">, </w:t>
      </w:r>
      <w:r>
        <w:t>26</w:t>
      </w:r>
      <w:r w:rsidR="00357A96" w:rsidRPr="002B28E7">
        <w:rPr>
          <w:vertAlign w:val="superscript"/>
        </w:rPr>
        <w:t>th</w:t>
      </w:r>
      <w:r w:rsidR="00357A96" w:rsidRPr="002B28E7">
        <w:t xml:space="preserve"> – </w:t>
      </w:r>
      <w:r>
        <w:t>30</w:t>
      </w:r>
      <w:r w:rsidR="00357A96" w:rsidRPr="002B28E7">
        <w:rPr>
          <w:vertAlign w:val="superscript"/>
        </w:rPr>
        <w:t>th</w:t>
      </w:r>
      <w:r w:rsidR="004E308F" w:rsidRPr="002B28E7">
        <w:t xml:space="preserve"> </w:t>
      </w:r>
      <w:proofErr w:type="gramStart"/>
      <w:r>
        <w:t>August</w:t>
      </w:r>
      <w:r w:rsidR="00357A96" w:rsidRPr="002B28E7">
        <w:t>,</w:t>
      </w:r>
      <w:proofErr w:type="gramEnd"/>
      <w:r w:rsidR="00357A96" w:rsidRPr="002B28E7">
        <w:t xml:space="preserve"> 2019</w:t>
      </w:r>
    </w:p>
    <w:bookmarkEnd w:id="0"/>
    <w:p w14:paraId="752B6174" w14:textId="77777777" w:rsidR="009F0D27" w:rsidRPr="002B28E7" w:rsidRDefault="009F0D27" w:rsidP="009F0D27">
      <w:pPr>
        <w:pStyle w:val="3GPPHeader"/>
      </w:pPr>
    </w:p>
    <w:p w14:paraId="7EEB5E57" w14:textId="19BAB6C7" w:rsidR="00B048E3" w:rsidRPr="002B28E7" w:rsidRDefault="00B048E3" w:rsidP="00B048E3">
      <w:pPr>
        <w:pStyle w:val="3GPPHeader"/>
        <w:rPr>
          <w:sz w:val="22"/>
        </w:rPr>
      </w:pPr>
      <w:r w:rsidRPr="002B28E7">
        <w:rPr>
          <w:sz w:val="22"/>
        </w:rPr>
        <w:t>Agenda Item:</w:t>
      </w:r>
      <w:r w:rsidRPr="002B28E7">
        <w:rPr>
          <w:sz w:val="22"/>
        </w:rPr>
        <w:tab/>
      </w:r>
      <w:r w:rsidR="00E6180E" w:rsidRPr="002B28E7">
        <w:rPr>
          <w:sz w:val="22"/>
        </w:rPr>
        <w:t>7.2.2.</w:t>
      </w:r>
      <w:r w:rsidR="003318FB" w:rsidRPr="002B28E7">
        <w:rPr>
          <w:sz w:val="22"/>
        </w:rPr>
        <w:t>2.</w:t>
      </w:r>
      <w:r w:rsidR="00E6180E" w:rsidRPr="002B28E7">
        <w:rPr>
          <w:sz w:val="22"/>
        </w:rPr>
        <w:t>5</w:t>
      </w:r>
    </w:p>
    <w:p w14:paraId="268F38BA" w14:textId="77777777" w:rsidR="00B048E3" w:rsidRPr="002B28E7" w:rsidRDefault="00B048E3" w:rsidP="00B048E3">
      <w:pPr>
        <w:pStyle w:val="3GPPHeader"/>
        <w:rPr>
          <w:sz w:val="22"/>
        </w:rPr>
      </w:pPr>
      <w:r w:rsidRPr="002B28E7">
        <w:rPr>
          <w:sz w:val="22"/>
        </w:rPr>
        <w:t>Source:</w:t>
      </w:r>
      <w:r w:rsidRPr="002B28E7">
        <w:rPr>
          <w:sz w:val="22"/>
        </w:rPr>
        <w:tab/>
        <w:t>Ericsson</w:t>
      </w:r>
    </w:p>
    <w:p w14:paraId="2467EAC2" w14:textId="13D901B5" w:rsidR="00E90E49" w:rsidRPr="002B28E7" w:rsidRDefault="003D3C45" w:rsidP="00311702">
      <w:pPr>
        <w:pStyle w:val="3GPPHeader"/>
        <w:rPr>
          <w:sz w:val="22"/>
        </w:rPr>
      </w:pPr>
      <w:r w:rsidRPr="002B28E7">
        <w:rPr>
          <w:sz w:val="22"/>
        </w:rPr>
        <w:t>Title:</w:t>
      </w:r>
      <w:r w:rsidR="00E90E49" w:rsidRPr="002B28E7">
        <w:rPr>
          <w:sz w:val="22"/>
        </w:rPr>
        <w:tab/>
      </w:r>
      <w:r w:rsidR="00E6180E" w:rsidRPr="002B28E7">
        <w:rPr>
          <w:sz w:val="22"/>
        </w:rPr>
        <w:t>Wideband operation for NR-U</w:t>
      </w:r>
    </w:p>
    <w:p w14:paraId="41A5EA0B" w14:textId="77777777" w:rsidR="00E90E49" w:rsidRPr="00CE0424" w:rsidRDefault="00E90E49" w:rsidP="00D546FF">
      <w:pPr>
        <w:pStyle w:val="3GPPHeader"/>
        <w:rPr>
          <w:sz w:val="22"/>
        </w:rPr>
      </w:pPr>
      <w:r w:rsidRPr="00421245">
        <w:rPr>
          <w:sz w:val="22"/>
        </w:rPr>
        <w:t>Document for:</w:t>
      </w:r>
      <w:r w:rsidRPr="00421245">
        <w:rPr>
          <w:sz w:val="22"/>
        </w:rPr>
        <w:tab/>
      </w:r>
      <w:r w:rsidRPr="004E3838">
        <w:rPr>
          <w:sz w:val="22"/>
        </w:rPr>
        <w:t>Discussion, Decision</w:t>
      </w:r>
    </w:p>
    <w:bookmarkEnd w:id="1"/>
    <w:p w14:paraId="41B6B850" w14:textId="67BF9307" w:rsidR="00A87CCB" w:rsidRDefault="008F469B" w:rsidP="004A3521">
      <w:pPr>
        <w:pStyle w:val="Heading1"/>
      </w:pPr>
      <w:r>
        <w:t>1</w:t>
      </w:r>
      <w:r w:rsidR="00230D18">
        <w:tab/>
      </w:r>
      <w:r w:rsidR="00A87CCB">
        <w:t>Introduction</w:t>
      </w:r>
    </w:p>
    <w:p w14:paraId="0EAC72EB" w14:textId="1127B232" w:rsidR="00071498" w:rsidRPr="002B28E7" w:rsidRDefault="00071498" w:rsidP="00071498">
      <w:pPr>
        <w:pStyle w:val="BodyText"/>
      </w:pPr>
      <w:r w:rsidRPr="002B28E7">
        <w:t xml:space="preserve">As for NR in licensed bands, it is expected that NR-U will support transmission over a wide bandwidth (&gt;&gt; 20 MHz). </w:t>
      </w:r>
      <w:r w:rsidR="00545617" w:rsidRPr="002B28E7">
        <w:t xml:space="preserve">Related to this, </w:t>
      </w:r>
      <w:r w:rsidRPr="002B28E7">
        <w:t xml:space="preserve">the following objective is listed in the NR-U WID </w:t>
      </w:r>
      <w:r>
        <w:fldChar w:fldCharType="begin"/>
      </w:r>
      <w:r w:rsidRPr="002B28E7">
        <w:instrText xml:space="preserve"> REF _Ref534127550 \r \h  \* MERGEFORMAT </w:instrText>
      </w:r>
      <w:r>
        <w:fldChar w:fldCharType="separate"/>
      </w:r>
      <w:r w:rsidR="00C355A4">
        <w:t>[1]</w:t>
      </w:r>
      <w:r>
        <w:fldChar w:fldCharType="end"/>
      </w:r>
      <w:r w:rsidRPr="002B28E7">
        <w:t>:</w:t>
      </w:r>
    </w:p>
    <w:p w14:paraId="08C16CE7" w14:textId="77777777" w:rsidR="00071498" w:rsidRPr="002B28E7" w:rsidRDefault="00071498" w:rsidP="00071498">
      <w:pPr>
        <w:pStyle w:val="BodyText"/>
        <w:ind w:left="567"/>
        <w:rPr>
          <w:rFonts w:ascii="Times New Roman" w:hAnsi="Times New Roman"/>
          <w:i/>
        </w:rPr>
      </w:pPr>
      <w:r w:rsidRPr="002B28E7">
        <w:rPr>
          <w:rFonts w:ascii="Times New Roman" w:hAnsi="Times New Roman"/>
          <w:i/>
          <w:lang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2B28E7">
        <w:rPr>
          <w:rFonts w:ascii="Times New Roman" w:hAnsi="Times New Roman"/>
          <w:i/>
          <w:lang w:eastAsia="ja-JP"/>
        </w:rPr>
        <w:t>subbands</w:t>
      </w:r>
      <w:proofErr w:type="spellEnd"/>
      <w:r w:rsidRPr="002B28E7">
        <w:rPr>
          <w:rFonts w:ascii="Times New Roman" w:hAnsi="Times New Roman"/>
          <w:i/>
          <w:lang w:eastAsia="ja-JP"/>
        </w:rPr>
        <w:t xml:space="preserve"> within the wideband carrier. For all wide-band operation cases, CCA is performed in units of 20MHz (at least for 5GHz).</w:t>
      </w:r>
    </w:p>
    <w:p w14:paraId="75554B8D" w14:textId="1BE363E7" w:rsidR="003A01AD" w:rsidRDefault="006001F6" w:rsidP="00966F8D">
      <w:pPr>
        <w:pStyle w:val="BodyText"/>
      </w:pPr>
      <w:r>
        <w:t>T</w:t>
      </w:r>
      <w:r w:rsidR="00545617" w:rsidRPr="002B28E7">
        <w:t xml:space="preserve">he common understanding in RAN1 </w:t>
      </w:r>
      <w:r w:rsidR="00377A31">
        <w:t>is</w:t>
      </w:r>
      <w:r w:rsidR="00545617" w:rsidRPr="002B28E7">
        <w:t xml:space="preserve"> that this may be achieved through either of the following approaches: single serving cell of bandwidth </w:t>
      </w:r>
      <w:r>
        <w:t>&gt;</w:t>
      </w:r>
      <w:r w:rsidR="00545617" w:rsidRPr="002B28E7">
        <w:t xml:space="preserve">20 MHz or aggregation of multiple serving cells of bandwidth 20 MHz or </w:t>
      </w:r>
      <w:r>
        <w:t>greater</w:t>
      </w:r>
      <w:r w:rsidR="00545617" w:rsidRPr="002B28E7">
        <w:t>. It is also stated CCA is performed in units of 20 MHz (at least for 5 GHz)</w:t>
      </w:r>
      <w:r w:rsidR="003A01AD" w:rsidRPr="002B28E7">
        <w:t>. This is referred to here as the LBT bandwidth (LBW)</w:t>
      </w:r>
      <w:r w:rsidR="00545617" w:rsidRPr="002B28E7">
        <w:t xml:space="preserve">. The </w:t>
      </w:r>
      <w:r w:rsidR="003A01AD" w:rsidRPr="002B28E7">
        <w:t xml:space="preserve">distinguishing feature amongst all scenarios is </w:t>
      </w:r>
      <w:r w:rsidR="00545617" w:rsidRPr="002B28E7">
        <w:t xml:space="preserve">the relationship between the carrier bandwidth (CBW) and </w:t>
      </w:r>
      <w:r w:rsidR="003A01AD" w:rsidRPr="002B28E7">
        <w:t xml:space="preserve">LBW for a </w:t>
      </w:r>
      <w:proofErr w:type="gramStart"/>
      <w:r w:rsidR="003A01AD" w:rsidRPr="002B28E7">
        <w:t>particular serving</w:t>
      </w:r>
      <w:proofErr w:type="gramEnd"/>
      <w:r w:rsidR="003A01AD" w:rsidRPr="002B28E7">
        <w:t xml:space="preserve"> cell. Hence, for the purposes of discussion we define the following:</w:t>
      </w:r>
    </w:p>
    <w:p w14:paraId="67DCC604" w14:textId="74029CAB" w:rsidR="003B0AA7" w:rsidRPr="002B28E7" w:rsidRDefault="003A689D" w:rsidP="006001F6">
      <w:pPr>
        <w:pStyle w:val="Observation"/>
        <w:spacing w:after="0"/>
        <w:ind w:left="1710" w:hanging="1710"/>
      </w:pPr>
      <w:bookmarkStart w:id="2" w:name="_Ref7800505"/>
      <w:bookmarkStart w:id="3" w:name="_Toc16685183"/>
      <w:r w:rsidRPr="002B28E7">
        <w:t xml:space="preserve">For the purposes of discussion, two wideband </w:t>
      </w:r>
      <w:r w:rsidR="007941DC" w:rsidRPr="002B28E7">
        <w:t>carrier aggregation</w:t>
      </w:r>
      <w:r w:rsidR="006001F6">
        <w:t xml:space="preserve"> modes</w:t>
      </w:r>
      <w:r w:rsidR="007941DC" w:rsidRPr="002B28E7">
        <w:t xml:space="preserve"> </w:t>
      </w:r>
      <w:r w:rsidR="003A01AD" w:rsidRPr="002B28E7">
        <w:t>are</w:t>
      </w:r>
      <w:r w:rsidRPr="002B28E7">
        <w:t xml:space="preserve"> </w:t>
      </w:r>
      <w:r w:rsidR="003A01AD" w:rsidRPr="002B28E7">
        <w:t>defined</w:t>
      </w:r>
      <w:r w:rsidRPr="002B28E7">
        <w:t xml:space="preserve"> as follows</w:t>
      </w:r>
      <w:r w:rsidR="00966F8D" w:rsidRPr="002B28E7">
        <w:t>:</w:t>
      </w:r>
      <w:bookmarkEnd w:id="2"/>
      <w:bookmarkEnd w:id="3"/>
    </w:p>
    <w:p w14:paraId="00A49DD0" w14:textId="3D4C1E70" w:rsidR="003A689D" w:rsidRDefault="003B0AA7" w:rsidP="006001F6">
      <w:pPr>
        <w:pStyle w:val="Observation"/>
        <w:numPr>
          <w:ilvl w:val="1"/>
          <w:numId w:val="38"/>
        </w:numPr>
        <w:spacing w:after="0"/>
        <w:ind w:left="2070"/>
      </w:pPr>
      <w:bookmarkStart w:id="4" w:name="_Toc16685184"/>
      <w:r>
        <w:t>Wideband Mode 1</w:t>
      </w:r>
      <w:r w:rsidR="00B07E35">
        <w:t xml:space="preserve"> (WB1):</w:t>
      </w:r>
      <w:bookmarkEnd w:id="4"/>
    </w:p>
    <w:p w14:paraId="263B5C19" w14:textId="35E1A83D" w:rsidR="003A689D" w:rsidRPr="002B28E7" w:rsidRDefault="003A01AD" w:rsidP="006001F6">
      <w:pPr>
        <w:pStyle w:val="Observation"/>
        <w:numPr>
          <w:ilvl w:val="2"/>
          <w:numId w:val="38"/>
        </w:numPr>
        <w:spacing w:after="0"/>
        <w:ind w:left="2520"/>
      </w:pPr>
      <w:bookmarkStart w:id="5" w:name="_Toc16685185"/>
      <w:r w:rsidRPr="002B28E7">
        <w:t>Carrier bandwidth is equal to the LBT bandwidth (CBW = LBW)</w:t>
      </w:r>
      <w:bookmarkEnd w:id="5"/>
    </w:p>
    <w:p w14:paraId="3C2EA810" w14:textId="26D747A4" w:rsidR="003A689D" w:rsidRDefault="003A689D" w:rsidP="006001F6">
      <w:pPr>
        <w:pStyle w:val="Observation"/>
        <w:numPr>
          <w:ilvl w:val="1"/>
          <w:numId w:val="38"/>
        </w:numPr>
        <w:spacing w:after="0"/>
        <w:ind w:left="2070"/>
      </w:pPr>
      <w:bookmarkStart w:id="6" w:name="_Toc16685186"/>
      <w:r>
        <w:t>Wideband Mode 2</w:t>
      </w:r>
      <w:r w:rsidR="00B07E35">
        <w:t xml:space="preserve"> (WB2):</w:t>
      </w:r>
      <w:bookmarkEnd w:id="6"/>
    </w:p>
    <w:p w14:paraId="03345391" w14:textId="38F39E61" w:rsidR="003A689D" w:rsidRPr="002B28E7" w:rsidRDefault="003A01AD" w:rsidP="006001F6">
      <w:pPr>
        <w:pStyle w:val="Observation"/>
        <w:numPr>
          <w:ilvl w:val="2"/>
          <w:numId w:val="38"/>
        </w:numPr>
        <w:spacing w:after="0"/>
        <w:ind w:left="2520"/>
      </w:pPr>
      <w:bookmarkStart w:id="7" w:name="_Toc16685187"/>
      <w:r w:rsidRPr="002B28E7">
        <w:t>Carrier bandwidth is greater than the LBT bandwidth (CBW &gt; LBW)</w:t>
      </w:r>
      <w:bookmarkEnd w:id="7"/>
    </w:p>
    <w:p w14:paraId="750FD1B1" w14:textId="7E2F2D16" w:rsidR="003A01AD" w:rsidRPr="002B28E7" w:rsidRDefault="00336A31" w:rsidP="006001F6">
      <w:pPr>
        <w:pStyle w:val="Observation"/>
        <w:numPr>
          <w:ilvl w:val="2"/>
          <w:numId w:val="38"/>
        </w:numPr>
        <w:spacing w:after="0"/>
        <w:ind w:left="2520"/>
      </w:pPr>
      <w:bookmarkStart w:id="8" w:name="_Toc16685188"/>
      <w:r w:rsidRPr="002B28E7">
        <w:t>A</w:t>
      </w:r>
      <w:r w:rsidR="003A01AD" w:rsidRPr="002B28E7">
        <w:t xml:space="preserve"> carrier consists of multiple LBT </w:t>
      </w:r>
      <w:r w:rsidR="00041F8A">
        <w:t>sub-bands</w:t>
      </w:r>
      <w:r w:rsidR="003A01AD" w:rsidRPr="002B28E7">
        <w:t>, each of bandwidth LBW</w:t>
      </w:r>
      <w:bookmarkEnd w:id="8"/>
    </w:p>
    <w:p w14:paraId="15B11937" w14:textId="46210781" w:rsidR="00F8543E" w:rsidRPr="002B28E7" w:rsidRDefault="00F8543E" w:rsidP="00F8543E">
      <w:pPr>
        <w:pStyle w:val="Proposal"/>
        <w:numPr>
          <w:ilvl w:val="0"/>
          <w:numId w:val="0"/>
        </w:numPr>
        <w:spacing w:after="0"/>
        <w:ind w:left="1701" w:hanging="1701"/>
      </w:pPr>
    </w:p>
    <w:p w14:paraId="6A3D1F3E" w14:textId="77777777" w:rsidR="00F8543E" w:rsidRPr="002B28E7" w:rsidRDefault="00F8543E" w:rsidP="00F8543E">
      <w:pPr>
        <w:pStyle w:val="BodyText"/>
      </w:pPr>
      <w:r w:rsidRPr="002B28E7">
        <w:t>For Wideband Mode 2, two agreements have been made in RAN1, one for the DL and one for the UL as follows:</w:t>
      </w:r>
    </w:p>
    <w:p w14:paraId="65CBECDA" w14:textId="5C4FE049" w:rsidR="00F8543E" w:rsidRPr="0071280B" w:rsidRDefault="00F8543E" w:rsidP="00206759">
      <w:pPr>
        <w:spacing w:after="0"/>
        <w:ind w:left="400"/>
        <w:rPr>
          <w:rFonts w:ascii="Times New Roman" w:hAnsi="Times New Roman" w:cs="Times New Roman"/>
          <w:sz w:val="20"/>
          <w:szCs w:val="20"/>
          <w:lang w:eastAsia="x-none"/>
        </w:rPr>
      </w:pPr>
      <w:r w:rsidRPr="002B28E7">
        <w:t xml:space="preserve"> </w:t>
      </w:r>
      <w:r w:rsidR="00891464">
        <w:rPr>
          <w:rFonts w:ascii="Times New Roman" w:hAnsi="Times New Roman" w:cs="Times New Roman"/>
          <w:sz w:val="20"/>
          <w:szCs w:val="20"/>
          <w:highlight w:val="green"/>
          <w:lang w:eastAsia="x-none"/>
        </w:rPr>
        <w:t>DL A</w:t>
      </w:r>
      <w:r w:rsidRPr="0071280B">
        <w:rPr>
          <w:rFonts w:ascii="Times New Roman" w:hAnsi="Times New Roman" w:cs="Times New Roman"/>
          <w:sz w:val="20"/>
          <w:szCs w:val="20"/>
          <w:highlight w:val="green"/>
          <w:lang w:eastAsia="x-none"/>
        </w:rPr>
        <w:t>greement:</w:t>
      </w:r>
    </w:p>
    <w:p w14:paraId="5B4A4348" w14:textId="77777777" w:rsidR="00F8543E" w:rsidRPr="002B28E7" w:rsidRDefault="00F8543E" w:rsidP="00206759">
      <w:pPr>
        <w:numPr>
          <w:ilvl w:val="0"/>
          <w:numId w:val="13"/>
        </w:numPr>
        <w:spacing w:after="0" w:line="240" w:lineRule="auto"/>
        <w:ind w:left="12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For wideband operation in DL with a single serving cell operation within a carrier with bandwidth larger than 20 MHz</w:t>
      </w:r>
    </w:p>
    <w:p w14:paraId="4B040410" w14:textId="77777777" w:rsidR="00F8543E" w:rsidRPr="002B28E7" w:rsidRDefault="00F8543E" w:rsidP="00206759">
      <w:pPr>
        <w:numPr>
          <w:ilvl w:val="1"/>
          <w:numId w:val="13"/>
        </w:numPr>
        <w:spacing w:after="0" w:line="240" w:lineRule="auto"/>
        <w:ind w:left="16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Multiple BWPs can be configured, single BWP activated, gNB may transmit PDSCH on parts or whole of single active BWP where CCA is successful at gNB (i.e., option 2 and 3 from previous agreement)</w:t>
      </w:r>
    </w:p>
    <w:p w14:paraId="741CAAA8" w14:textId="77777777" w:rsidR="00F8543E" w:rsidRPr="002B28E7"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 xml:space="preserve">FFS: Restrictions on supportable gaps and combinations of gaps between </w:t>
      </w:r>
      <w:proofErr w:type="spellStart"/>
      <w:r w:rsidRPr="002B28E7">
        <w:rPr>
          <w:rFonts w:ascii="Times New Roman" w:hAnsi="Times New Roman" w:cs="Times New Roman"/>
          <w:sz w:val="20"/>
          <w:szCs w:val="20"/>
          <w:lang w:eastAsia="x-none"/>
        </w:rPr>
        <w:t>discontiguous</w:t>
      </w:r>
      <w:proofErr w:type="spellEnd"/>
      <w:r w:rsidRPr="002B28E7">
        <w:rPr>
          <w:rFonts w:ascii="Times New Roman" w:hAnsi="Times New Roman" w:cs="Times New Roman"/>
          <w:sz w:val="20"/>
          <w:szCs w:val="20"/>
          <w:lang w:eastAsia="x-none"/>
        </w:rPr>
        <w:t xml:space="preserve"> blocks where </w:t>
      </w:r>
    </w:p>
    <w:p w14:paraId="0ACBEEDD" w14:textId="77777777" w:rsidR="00F8543E" w:rsidRPr="002B28E7" w:rsidRDefault="00F8543E" w:rsidP="00206759">
      <w:pPr>
        <w:numPr>
          <w:ilvl w:val="3"/>
          <w:numId w:val="13"/>
        </w:numPr>
        <w:spacing w:after="0" w:line="240" w:lineRule="auto"/>
        <w:ind w:left="24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each block spans contiguous (one or) multiple successful LBT sub-bands</w:t>
      </w:r>
    </w:p>
    <w:p w14:paraId="4C974344" w14:textId="77777777" w:rsidR="00F8543E" w:rsidRPr="002B28E7" w:rsidRDefault="00F8543E" w:rsidP="00206759">
      <w:pPr>
        <w:numPr>
          <w:ilvl w:val="3"/>
          <w:numId w:val="13"/>
        </w:numPr>
        <w:spacing w:after="0" w:line="240" w:lineRule="auto"/>
        <w:ind w:left="24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each gap spans one or multiple contiguous unsuccessful LBT sub-bands</w:t>
      </w:r>
    </w:p>
    <w:p w14:paraId="61FC5D45" w14:textId="77777777" w:rsidR="00F8543E" w:rsidRPr="002B28E7"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lastRenderedPageBreak/>
        <w:t>FFS: Transmission bandwidth adaptation delay, potentially different delay for e.g., different number of supported gaps, different transmission bandwidths and different positions of the LBT sub-bands where transmissions occur</w:t>
      </w:r>
    </w:p>
    <w:p w14:paraId="29930A8B" w14:textId="77777777" w:rsidR="00F8543E" w:rsidRPr="002B28E7"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FFS: Limit on the occupied LBT sub-bands due to regulation and coexistence considerations (not intended to imply that regulation and coexistence considerations will not be addressed)</w:t>
      </w:r>
    </w:p>
    <w:p w14:paraId="09082E3F" w14:textId="77777777" w:rsidR="00F8543E" w:rsidRPr="002B28E7"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 xml:space="preserve">FFS: Whether/how to indicate </w:t>
      </w:r>
      <w:proofErr w:type="spellStart"/>
      <w:r w:rsidRPr="002B28E7">
        <w:rPr>
          <w:rFonts w:ascii="Times New Roman" w:hAnsi="Times New Roman" w:cs="Times New Roman"/>
          <w:sz w:val="20"/>
          <w:szCs w:val="20"/>
          <w:lang w:eastAsia="x-none"/>
        </w:rPr>
        <w:t>gNB’s</w:t>
      </w:r>
      <w:proofErr w:type="spellEnd"/>
      <w:r w:rsidRPr="002B28E7">
        <w:rPr>
          <w:rFonts w:ascii="Times New Roman" w:hAnsi="Times New Roman" w:cs="Times New Roman"/>
          <w:sz w:val="20"/>
          <w:szCs w:val="20"/>
          <w:lang w:eastAsia="x-none"/>
        </w:rPr>
        <w:t xml:space="preserve"> transmitted LBT sub-bands</w:t>
      </w:r>
    </w:p>
    <w:p w14:paraId="19E2DFC3" w14:textId="77777777" w:rsidR="00F8543E" w:rsidRPr="002B28E7"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FFS: Enhancements to PDCCH/PDSCH configuration/transmission for the parts of BWP where gNB does not transmit due to CCA failure</w:t>
      </w:r>
    </w:p>
    <w:p w14:paraId="2FAEEA26" w14:textId="77777777" w:rsidR="00F8543E" w:rsidRPr="002B28E7" w:rsidRDefault="00F8543E" w:rsidP="00206759">
      <w:pPr>
        <w:numPr>
          <w:ilvl w:val="0"/>
          <w:numId w:val="13"/>
        </w:numPr>
        <w:spacing w:after="0" w:line="240" w:lineRule="auto"/>
        <w:ind w:left="1200"/>
        <w:rPr>
          <w:rFonts w:ascii="Times New Roman" w:hAnsi="Times New Roman" w:cs="Times New Roman"/>
          <w:sz w:val="20"/>
          <w:szCs w:val="20"/>
          <w:lang w:eastAsia="x-none"/>
        </w:rPr>
      </w:pPr>
      <w:r w:rsidRPr="002B28E7">
        <w:rPr>
          <w:rFonts w:ascii="Times New Roman" w:hAnsi="Times New Roman" w:cs="Times New Roman"/>
          <w:sz w:val="20"/>
          <w:szCs w:val="20"/>
          <w:lang w:eastAsia="x-none"/>
        </w:rPr>
        <w:t>Send LS to RAN4 to inform above decision with the description that RAN1 requires RAN4’s feedback on the first three FFS parts in addition to what was requested in earlier LSs.</w:t>
      </w:r>
    </w:p>
    <w:p w14:paraId="7C29C65D" w14:textId="66CE58B5" w:rsidR="00F8543E" w:rsidRPr="002B28E7" w:rsidRDefault="00F8543E" w:rsidP="00F8543E">
      <w:pPr>
        <w:pStyle w:val="BodyText"/>
      </w:pPr>
    </w:p>
    <w:p w14:paraId="2379ADC4" w14:textId="0CEA8BDF" w:rsidR="00F8543E" w:rsidRPr="00F8543E" w:rsidRDefault="00891464" w:rsidP="00206759">
      <w:pPr>
        <w:spacing w:after="0" w:line="240" w:lineRule="auto"/>
        <w:ind w:left="567"/>
        <w:rPr>
          <w:rFonts w:ascii="Times" w:eastAsia="Batang" w:hAnsi="Times" w:cs="Times New Roman"/>
          <w:sz w:val="20"/>
          <w:szCs w:val="24"/>
          <w:lang w:val="en-GB" w:eastAsia="x-none"/>
        </w:rPr>
      </w:pPr>
      <w:r>
        <w:rPr>
          <w:rFonts w:ascii="Times" w:eastAsia="Batang" w:hAnsi="Times" w:cs="Times New Roman"/>
          <w:sz w:val="20"/>
          <w:szCs w:val="24"/>
          <w:highlight w:val="green"/>
          <w:lang w:val="en-GB" w:eastAsia="x-none"/>
        </w:rPr>
        <w:t>UL A</w:t>
      </w:r>
      <w:r w:rsidR="00F8543E" w:rsidRPr="00F8543E">
        <w:rPr>
          <w:rFonts w:ascii="Times" w:eastAsia="Batang" w:hAnsi="Times" w:cs="Times New Roman"/>
          <w:sz w:val="20"/>
          <w:szCs w:val="24"/>
          <w:highlight w:val="green"/>
          <w:lang w:val="en-GB" w:eastAsia="x-none"/>
        </w:rPr>
        <w:t>greement:</w:t>
      </w:r>
    </w:p>
    <w:p w14:paraId="0E0BF9C5" w14:textId="77777777" w:rsidR="00F8543E" w:rsidRPr="002B28E7" w:rsidRDefault="00F8543E" w:rsidP="00206759">
      <w:pPr>
        <w:spacing w:after="0" w:line="240" w:lineRule="auto"/>
        <w:ind w:left="567"/>
        <w:rPr>
          <w:rFonts w:ascii="Times" w:eastAsia="Batang" w:hAnsi="Times" w:cs="Times New Roman"/>
          <w:sz w:val="20"/>
          <w:szCs w:val="24"/>
          <w:lang w:eastAsia="x-none"/>
        </w:rPr>
      </w:pPr>
      <w:r w:rsidRPr="002B28E7">
        <w:rPr>
          <w:rFonts w:ascii="Times" w:eastAsia="Batang" w:hAnsi="Times" w:cs="Times New Roman"/>
          <w:sz w:val="20"/>
          <w:szCs w:val="24"/>
          <w:lang w:eastAsia="x-none"/>
        </w:rPr>
        <w:t>For UL transmissions in a serving cell with carrier bandwidth greater than LBT bandwidth, for the case where UE performs CCA before UL transmission, support at least Alt. 1 among the following alternatives</w:t>
      </w:r>
    </w:p>
    <w:p w14:paraId="7C79AB91" w14:textId="77777777" w:rsidR="00F8543E" w:rsidRPr="002B28E7" w:rsidRDefault="00F8543E" w:rsidP="00206759">
      <w:pPr>
        <w:numPr>
          <w:ilvl w:val="0"/>
          <w:numId w:val="30"/>
        </w:numPr>
        <w:spacing w:after="0" w:line="240" w:lineRule="auto"/>
        <w:ind w:left="927"/>
        <w:rPr>
          <w:rFonts w:ascii="Times" w:eastAsia="Batang" w:hAnsi="Times" w:cs="Times New Roman"/>
          <w:sz w:val="20"/>
          <w:szCs w:val="24"/>
          <w:lang w:eastAsia="x-none"/>
        </w:rPr>
      </w:pPr>
      <w:r w:rsidRPr="00F8543E">
        <w:rPr>
          <w:rFonts w:ascii="Times" w:eastAsia="Batang" w:hAnsi="Times" w:cs="Times New Roman"/>
          <w:sz w:val="20"/>
          <w:szCs w:val="24"/>
          <w:lang w:val="en-GB" w:eastAsia="x-none"/>
        </w:rPr>
        <w:t>Alt. 1: UE transmits the PUSCH only if CCA is successful at UE in all LBT bandwidths of the scheduled PUSCH.</w:t>
      </w:r>
    </w:p>
    <w:p w14:paraId="62B7D1EF" w14:textId="77777777" w:rsidR="00F8543E" w:rsidRPr="002B28E7" w:rsidRDefault="00F8543E" w:rsidP="00206759">
      <w:pPr>
        <w:numPr>
          <w:ilvl w:val="0"/>
          <w:numId w:val="29"/>
        </w:numPr>
        <w:spacing w:after="0" w:line="240" w:lineRule="auto"/>
        <w:ind w:left="927"/>
        <w:rPr>
          <w:rFonts w:ascii="Times" w:eastAsia="Batang" w:hAnsi="Times" w:cs="Times New Roman"/>
          <w:sz w:val="20"/>
          <w:szCs w:val="24"/>
          <w:lang w:eastAsia="x-none"/>
        </w:rPr>
      </w:pPr>
      <w:r w:rsidRPr="00F8543E">
        <w:rPr>
          <w:rFonts w:ascii="Times" w:eastAsia="Batang" w:hAnsi="Times" w:cs="Times New Roman"/>
          <w:sz w:val="20"/>
          <w:szCs w:val="24"/>
          <w:lang w:val="en-GB" w:eastAsia="x-none"/>
        </w:rPr>
        <w:t xml:space="preserve">Alt. 2: </w:t>
      </w:r>
      <w:r w:rsidRPr="00F8543E">
        <w:rPr>
          <w:rFonts w:ascii="Times" w:eastAsia="Batang" w:hAnsi="Times" w:cs="Times New Roman" w:hint="eastAsia"/>
          <w:bCs/>
          <w:sz w:val="20"/>
          <w:szCs w:val="24"/>
          <w:lang w:val="en-GB" w:eastAsia="x-none"/>
        </w:rPr>
        <w:t xml:space="preserve">UE transmits </w:t>
      </w:r>
      <w:r w:rsidRPr="00F8543E">
        <w:rPr>
          <w:rFonts w:ascii="Times" w:eastAsia="Batang" w:hAnsi="Times" w:cs="Times New Roman"/>
          <w:bCs/>
          <w:sz w:val="20"/>
          <w:szCs w:val="24"/>
          <w:lang w:val="en-GB" w:eastAsia="x-none"/>
        </w:rPr>
        <w:t xml:space="preserve">the PUSCH in all or a subset of LBT bandwidths of the scheduled PUSCH for which CCA is successful at the UE. </w:t>
      </w:r>
    </w:p>
    <w:p w14:paraId="40FDAC32" w14:textId="77777777" w:rsidR="00F8543E" w:rsidRPr="002B28E7" w:rsidRDefault="00F8543E" w:rsidP="00206759">
      <w:pPr>
        <w:numPr>
          <w:ilvl w:val="1"/>
          <w:numId w:val="29"/>
        </w:numPr>
        <w:spacing w:after="0" w:line="240" w:lineRule="auto"/>
        <w:ind w:left="1647"/>
        <w:rPr>
          <w:rFonts w:ascii="Times" w:eastAsia="Batang" w:hAnsi="Times" w:cs="Times New Roman"/>
          <w:sz w:val="20"/>
          <w:szCs w:val="24"/>
          <w:lang w:eastAsia="x-none"/>
        </w:rPr>
      </w:pPr>
      <w:r w:rsidRPr="002B28E7">
        <w:rPr>
          <w:rFonts w:ascii="Times" w:eastAsia="Batang" w:hAnsi="Times" w:cs="Times New Roman"/>
          <w:sz w:val="20"/>
          <w:szCs w:val="24"/>
          <w:lang w:eastAsia="x-none"/>
        </w:rPr>
        <w:t>Decision on whether this alternative is supported will depend on feedback from RAN4</w:t>
      </w:r>
    </w:p>
    <w:p w14:paraId="5EC3C2FE" w14:textId="77777777" w:rsidR="00F8543E" w:rsidRPr="002B28E7" w:rsidRDefault="00F8543E" w:rsidP="00206759">
      <w:pPr>
        <w:numPr>
          <w:ilvl w:val="1"/>
          <w:numId w:val="29"/>
        </w:numPr>
        <w:spacing w:after="0" w:line="240" w:lineRule="auto"/>
        <w:ind w:left="1647"/>
        <w:rPr>
          <w:rFonts w:ascii="Times" w:eastAsia="Batang" w:hAnsi="Times" w:cs="Times New Roman"/>
          <w:sz w:val="20"/>
          <w:szCs w:val="24"/>
          <w:lang w:eastAsia="x-none"/>
        </w:rPr>
      </w:pPr>
      <w:r w:rsidRPr="002B28E7">
        <w:rPr>
          <w:rFonts w:ascii="Times" w:eastAsia="Batang" w:hAnsi="Times" w:cs="Times New Roman" w:hint="eastAsia"/>
          <w:bCs/>
          <w:sz w:val="20"/>
          <w:szCs w:val="24"/>
          <w:lang w:eastAsia="x-none"/>
        </w:rPr>
        <w:t>F</w:t>
      </w:r>
      <w:r w:rsidRPr="002B28E7">
        <w:rPr>
          <w:rFonts w:ascii="Times" w:eastAsia="Batang" w:hAnsi="Times" w:cs="Times New Roman"/>
          <w:bCs/>
          <w:sz w:val="20"/>
          <w:szCs w:val="24"/>
          <w:lang w:eastAsia="x-none"/>
        </w:rPr>
        <w:t>FS on restrictions to the subset of LBT bandwidths, e.g., only contiguous LBT bandwidths allowed, based on feedback from RAN4</w:t>
      </w:r>
    </w:p>
    <w:p w14:paraId="171C7965" w14:textId="77777777" w:rsidR="00F8543E" w:rsidRPr="002B28E7" w:rsidRDefault="00F8543E" w:rsidP="00206759">
      <w:pPr>
        <w:numPr>
          <w:ilvl w:val="0"/>
          <w:numId w:val="31"/>
        </w:numPr>
        <w:spacing w:after="0" w:line="240" w:lineRule="auto"/>
        <w:ind w:left="927"/>
        <w:rPr>
          <w:rFonts w:ascii="Times" w:eastAsia="Batang" w:hAnsi="Times" w:cs="Times New Roman"/>
          <w:sz w:val="20"/>
          <w:szCs w:val="24"/>
          <w:lang w:eastAsia="x-none"/>
        </w:rPr>
      </w:pPr>
      <w:r w:rsidRPr="002B28E7">
        <w:rPr>
          <w:rFonts w:ascii="Times" w:eastAsia="Batang" w:hAnsi="Times" w:cs="Times New Roman"/>
          <w:sz w:val="20"/>
          <w:szCs w:val="24"/>
          <w:lang w:eastAsia="x-none"/>
        </w:rPr>
        <w:t>Necessity of guard bands within the scheduled PUSCH should be determined by RAN4</w:t>
      </w:r>
    </w:p>
    <w:p w14:paraId="3A69D97B" w14:textId="77777777" w:rsidR="00F8543E" w:rsidRPr="002B28E7" w:rsidRDefault="00F8543E" w:rsidP="00206759">
      <w:pPr>
        <w:numPr>
          <w:ilvl w:val="0"/>
          <w:numId w:val="31"/>
        </w:numPr>
        <w:spacing w:after="0" w:line="240" w:lineRule="auto"/>
        <w:ind w:left="927"/>
        <w:rPr>
          <w:rFonts w:ascii="Times" w:eastAsia="Batang" w:hAnsi="Times" w:cs="Times New Roman"/>
          <w:sz w:val="20"/>
          <w:szCs w:val="24"/>
          <w:lang w:eastAsia="x-none"/>
        </w:rPr>
      </w:pPr>
      <w:r w:rsidRPr="002B28E7">
        <w:rPr>
          <w:rFonts w:ascii="Times" w:eastAsia="Batang" w:hAnsi="Times" w:cs="Times New Roman"/>
          <w:sz w:val="20"/>
          <w:szCs w:val="24"/>
          <w:lang w:eastAsia="x-none"/>
        </w:rPr>
        <w:t>FFS: Whether this applies also to configured grant PUSCH</w:t>
      </w:r>
    </w:p>
    <w:p w14:paraId="09C90998" w14:textId="77777777" w:rsidR="00F8543E" w:rsidRPr="002B28E7" w:rsidRDefault="00F8543E" w:rsidP="00206759">
      <w:pPr>
        <w:numPr>
          <w:ilvl w:val="0"/>
          <w:numId w:val="31"/>
        </w:numPr>
        <w:spacing w:after="0" w:line="240" w:lineRule="auto"/>
        <w:ind w:left="927"/>
        <w:rPr>
          <w:rFonts w:ascii="Times" w:eastAsia="Batang" w:hAnsi="Times" w:cs="Times New Roman"/>
          <w:sz w:val="20"/>
          <w:szCs w:val="24"/>
          <w:lang w:eastAsia="x-none"/>
        </w:rPr>
      </w:pPr>
      <w:r w:rsidRPr="002B28E7">
        <w:rPr>
          <w:rFonts w:ascii="Times" w:eastAsia="Batang" w:hAnsi="Times" w:cs="Times New Roman"/>
          <w:sz w:val="20"/>
          <w:szCs w:val="24"/>
          <w:lang w:eastAsia="x-none"/>
        </w:rPr>
        <w:t>FFS: Whether this applies also to PUCCH</w:t>
      </w:r>
    </w:p>
    <w:p w14:paraId="152E121D" w14:textId="0081D1C2" w:rsidR="00F8543E" w:rsidRPr="002B28E7" w:rsidRDefault="00F8543E" w:rsidP="00F8543E">
      <w:pPr>
        <w:pStyle w:val="BodyText"/>
      </w:pPr>
    </w:p>
    <w:p w14:paraId="4E27AC2B" w14:textId="51FBC9E6" w:rsidR="00F8543E" w:rsidRPr="002B28E7" w:rsidRDefault="00F8543E" w:rsidP="00F8543E">
      <w:pPr>
        <w:pStyle w:val="BodyText"/>
      </w:pPr>
      <w:r w:rsidRPr="002B28E7">
        <w:t xml:space="preserve">Both agreements allow for transmission/receptions on </w:t>
      </w:r>
      <w:r w:rsidRPr="002B28E7">
        <w:rPr>
          <w:i/>
        </w:rPr>
        <w:t>parts or whole</w:t>
      </w:r>
      <w:r w:rsidRPr="002B28E7">
        <w:t xml:space="preserve"> of the BWP of a wideband carrier depending on LBT outcome. For example, if an 80 MHz BWP is configured within a wideband carrier and LBW = 20 MHz, the carrier consists of 4 LBT </w:t>
      </w:r>
      <w:r w:rsidR="00041F8A">
        <w:t>sub-bands</w:t>
      </w:r>
      <w:r w:rsidRPr="002B28E7">
        <w:t xml:space="preserve">. In principle, any combination of 1, 2, 3, or 4 </w:t>
      </w:r>
      <w:r w:rsidR="00041F8A">
        <w:t>sub-bands</w:t>
      </w:r>
      <w:r w:rsidRPr="002B28E7">
        <w:t xml:space="preserve"> may be available depending on the LBT outcome. This is illustrated in </w:t>
      </w:r>
      <w:r>
        <w:fldChar w:fldCharType="begin"/>
      </w:r>
      <w:r w:rsidRPr="002B28E7">
        <w:instrText xml:space="preserve"> REF _Ref7708949 \h </w:instrText>
      </w:r>
      <w:r>
        <w:fldChar w:fldCharType="separate"/>
      </w:r>
      <w:r w:rsidR="00C355A4" w:rsidRPr="002B28E7">
        <w:t xml:space="preserve">Figure </w:t>
      </w:r>
      <w:r w:rsidR="00C355A4">
        <w:rPr>
          <w:noProof/>
        </w:rPr>
        <w:t>1</w:t>
      </w:r>
      <w:r>
        <w:fldChar w:fldCharType="end"/>
      </w:r>
      <w:r w:rsidRPr="002B28E7">
        <w:t>.</w:t>
      </w:r>
      <w:r w:rsidR="00891464" w:rsidRPr="002B28E7">
        <w:t xml:space="preserve"> We refer to this type of operation as “Channel Puncturing,” since depending on LBT outcome some subset of 20 MHz </w:t>
      </w:r>
      <w:r w:rsidR="00041F8A">
        <w:t>sub-bands</w:t>
      </w:r>
      <w:r w:rsidR="00891464" w:rsidRPr="002B28E7">
        <w:t xml:space="preserve"> (corresponding to 20 MHz channels) are not available for transmission/reception, i.e., are punctured.</w:t>
      </w:r>
    </w:p>
    <w:p w14:paraId="50848925" w14:textId="078E244A" w:rsidR="00891464" w:rsidRPr="002B28E7" w:rsidRDefault="00891464" w:rsidP="00F8543E">
      <w:pPr>
        <w:pStyle w:val="BodyText"/>
      </w:pPr>
    </w:p>
    <w:p w14:paraId="6B46AA50" w14:textId="77777777" w:rsidR="00F8543E" w:rsidRDefault="00F8543E" w:rsidP="00F8543E">
      <w:pPr>
        <w:pStyle w:val="BodyText"/>
        <w:keepNext/>
        <w:jc w:val="left"/>
      </w:pPr>
      <w:r>
        <w:rPr>
          <w:noProof/>
        </w:rPr>
        <w:drawing>
          <wp:inline distT="0" distB="0" distL="0" distR="0" wp14:anchorId="632C973E" wp14:editId="40B301FC">
            <wp:extent cx="6400800" cy="2798064"/>
            <wp:effectExtent l="0" t="0" r="0" b="0"/>
            <wp:docPr id="3" name="Picture 3" descr="example LBT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LBT cas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0800" cy="2798064"/>
                    </a:xfrm>
                    <a:prstGeom prst="rect">
                      <a:avLst/>
                    </a:prstGeom>
                    <a:noFill/>
                    <a:ln>
                      <a:noFill/>
                    </a:ln>
                  </pic:spPr>
                </pic:pic>
              </a:graphicData>
            </a:graphic>
          </wp:inline>
        </w:drawing>
      </w:r>
    </w:p>
    <w:p w14:paraId="1100B501" w14:textId="0AEADE8B" w:rsidR="00F8543E" w:rsidRPr="002B28E7" w:rsidRDefault="00F8543E" w:rsidP="00F8543E">
      <w:pPr>
        <w:pStyle w:val="Caption"/>
        <w:spacing w:before="0"/>
        <w:jc w:val="center"/>
      </w:pPr>
      <w:bookmarkStart w:id="9" w:name="_Ref7708949"/>
      <w:r w:rsidRPr="002B28E7">
        <w:t xml:space="preserve">Figure </w:t>
      </w:r>
      <w:r>
        <w:rPr>
          <w:noProof/>
        </w:rPr>
        <w:fldChar w:fldCharType="begin"/>
      </w:r>
      <w:r w:rsidRPr="002B28E7">
        <w:rPr>
          <w:noProof/>
        </w:rPr>
        <w:instrText xml:space="preserve"> SEQ Figure \* ARABIC </w:instrText>
      </w:r>
      <w:r>
        <w:rPr>
          <w:noProof/>
        </w:rPr>
        <w:fldChar w:fldCharType="separate"/>
      </w:r>
      <w:r w:rsidR="00C355A4">
        <w:rPr>
          <w:noProof/>
        </w:rPr>
        <w:t>1</w:t>
      </w:r>
      <w:r>
        <w:rPr>
          <w:noProof/>
        </w:rPr>
        <w:fldChar w:fldCharType="end"/>
      </w:r>
      <w:bookmarkEnd w:id="9"/>
      <w:r w:rsidRPr="002B28E7">
        <w:t>: Wideband Mode 2 for the case of a single 80 MHz carrier. Various channel puncturing scenarios based on LBT outcome are illustrated.</w:t>
      </w:r>
    </w:p>
    <w:p w14:paraId="0F6207C9" w14:textId="3ED16750" w:rsidR="00F8543E" w:rsidRPr="002B28E7" w:rsidRDefault="00F8543E" w:rsidP="00F8543E">
      <w:pPr>
        <w:pStyle w:val="BodyText"/>
      </w:pPr>
    </w:p>
    <w:p w14:paraId="1232569C" w14:textId="0C7175C3" w:rsidR="00B20DDB" w:rsidRDefault="00B20DDB" w:rsidP="004A3521">
      <w:pPr>
        <w:pStyle w:val="Heading1"/>
      </w:pPr>
      <w:r>
        <w:lastRenderedPageBreak/>
        <w:t>2</w:t>
      </w:r>
      <w:r>
        <w:tab/>
      </w:r>
      <w:r w:rsidR="00967C9D">
        <w:t>Status of LS Exchange with RAN4</w:t>
      </w:r>
      <w:r w:rsidR="00B379DC">
        <w:t xml:space="preserve"> </w:t>
      </w:r>
    </w:p>
    <w:p w14:paraId="5D08AD4C" w14:textId="5C06BD38" w:rsidR="00EC42AB" w:rsidRDefault="00B379DC" w:rsidP="008A1EE3">
      <w:pPr>
        <w:pStyle w:val="BodyText"/>
      </w:pPr>
      <w:r w:rsidRPr="002B28E7">
        <w:t xml:space="preserve">During </w:t>
      </w:r>
      <w:r w:rsidR="0035395A">
        <w:t xml:space="preserve">both the SI and WI phase, </w:t>
      </w:r>
      <w:r w:rsidR="00814686">
        <w:t>there has been an exchange of a number of LSs between RAN1 and RAN4 on the feasibility of WB2</w:t>
      </w:r>
      <w:r w:rsidR="00EC42AB">
        <w:t xml:space="preserve"> for both the downlink and uplink</w:t>
      </w:r>
      <w:r w:rsidR="00814686">
        <w:t xml:space="preserve"> </w:t>
      </w:r>
      <w:r w:rsidR="00F95557">
        <w:fldChar w:fldCharType="begin"/>
      </w:r>
      <w:r w:rsidR="00F95557">
        <w:instrText xml:space="preserve"> REF _Ref525666947 \r \h </w:instrText>
      </w:r>
      <w:r w:rsidR="00F95557">
        <w:fldChar w:fldCharType="separate"/>
      </w:r>
      <w:r w:rsidR="00C355A4">
        <w:t>[3]</w:t>
      </w:r>
      <w:r w:rsidR="00F95557">
        <w:fldChar w:fldCharType="end"/>
      </w:r>
      <w:r w:rsidR="00F95557">
        <w:t>,</w:t>
      </w:r>
      <w:r w:rsidR="00F95557">
        <w:fldChar w:fldCharType="begin"/>
      </w:r>
      <w:r w:rsidR="00F95557">
        <w:instrText xml:space="preserve"> REF _Ref4754607 \r \h </w:instrText>
      </w:r>
      <w:r w:rsidR="00F95557">
        <w:fldChar w:fldCharType="separate"/>
      </w:r>
      <w:r w:rsidR="00C355A4">
        <w:t>[4]</w:t>
      </w:r>
      <w:r w:rsidR="00F95557">
        <w:fldChar w:fldCharType="end"/>
      </w:r>
      <w:r w:rsidR="00F95557">
        <w:t>,</w:t>
      </w:r>
      <w:r w:rsidR="00F95557">
        <w:fldChar w:fldCharType="begin"/>
      </w:r>
      <w:r w:rsidR="00F95557">
        <w:instrText xml:space="preserve"> REF _Ref4755824 \r \h </w:instrText>
      </w:r>
      <w:r w:rsidR="00F95557">
        <w:fldChar w:fldCharType="separate"/>
      </w:r>
      <w:r w:rsidR="00C355A4">
        <w:t>[5]</w:t>
      </w:r>
      <w:r w:rsidR="00F95557">
        <w:fldChar w:fldCharType="end"/>
      </w:r>
      <w:r w:rsidR="00F95557">
        <w:t>,</w:t>
      </w:r>
      <w:r w:rsidR="00EC42AB">
        <w:fldChar w:fldCharType="begin"/>
      </w:r>
      <w:r w:rsidR="00EC42AB">
        <w:instrText xml:space="preserve"> REF _Ref16171115 \r \h </w:instrText>
      </w:r>
      <w:r w:rsidR="00EC42AB">
        <w:fldChar w:fldCharType="separate"/>
      </w:r>
      <w:r w:rsidR="00C355A4">
        <w:t>[6]</w:t>
      </w:r>
      <w:r w:rsidR="00EC42AB">
        <w:fldChar w:fldCharType="end"/>
      </w:r>
      <w:r w:rsidR="00EC42AB">
        <w:t>,</w:t>
      </w:r>
      <w:r w:rsidR="00EC42AB">
        <w:fldChar w:fldCharType="begin"/>
      </w:r>
      <w:r w:rsidR="00EC42AB">
        <w:instrText xml:space="preserve"> REF _Ref7709648 \r \h </w:instrText>
      </w:r>
      <w:r w:rsidR="00EC42AB">
        <w:fldChar w:fldCharType="separate"/>
      </w:r>
      <w:r w:rsidR="00C355A4">
        <w:t>[7]</w:t>
      </w:r>
      <w:r w:rsidR="00EC42AB">
        <w:fldChar w:fldCharType="end"/>
      </w:r>
      <w:r w:rsidR="00EC42AB">
        <w:t>.</w:t>
      </w:r>
      <w:r w:rsidR="00B14D49">
        <w:t xml:space="preserve"> Here we review the status of this exchange as well as the guidance offered by RAN in the most recent plenary to establish a way forward.</w:t>
      </w:r>
    </w:p>
    <w:p w14:paraId="1B8AAD5E" w14:textId="323D351E" w:rsidR="00EC42AB" w:rsidRDefault="00EC42AB" w:rsidP="004A3521">
      <w:pPr>
        <w:pStyle w:val="Heading2"/>
      </w:pPr>
      <w:r>
        <w:t>2.1</w:t>
      </w:r>
      <w:r>
        <w:tab/>
        <w:t>Downlink</w:t>
      </w:r>
    </w:p>
    <w:p w14:paraId="18CFFB9D" w14:textId="571AA483" w:rsidR="007D7B85" w:rsidRDefault="006001F6" w:rsidP="008A1EE3">
      <w:pPr>
        <w:pStyle w:val="BodyText"/>
      </w:pPr>
      <w:r>
        <w:t>In</w:t>
      </w:r>
      <w:r w:rsidR="00EC42AB">
        <w:t xml:space="preserve"> </w:t>
      </w:r>
      <w:r w:rsidR="0035395A">
        <w:t xml:space="preserve">the most </w:t>
      </w:r>
      <w:r w:rsidR="00EC42AB">
        <w:t>recent</w:t>
      </w:r>
      <w:r w:rsidR="0035395A">
        <w:t xml:space="preserve"> LS to RAN1 </w:t>
      </w:r>
      <w:r w:rsidR="0035395A">
        <w:fldChar w:fldCharType="begin"/>
      </w:r>
      <w:r w:rsidR="0035395A">
        <w:instrText xml:space="preserve"> REF _Ref7709648 \r \h </w:instrText>
      </w:r>
      <w:r w:rsidR="0035395A">
        <w:fldChar w:fldCharType="separate"/>
      </w:r>
      <w:r w:rsidR="00C355A4">
        <w:t>[7]</w:t>
      </w:r>
      <w:r w:rsidR="0035395A">
        <w:fldChar w:fldCharType="end"/>
      </w:r>
      <w:r w:rsidR="0035395A">
        <w:t>, RAN4 provided feedback on the feasibility of WB2</w:t>
      </w:r>
      <w:r>
        <w:t xml:space="preserve"> for the </w:t>
      </w:r>
      <w:r w:rsidRPr="006001F6">
        <w:rPr>
          <w:i/>
        </w:rPr>
        <w:t>downlink</w:t>
      </w:r>
      <w:r w:rsidR="0035395A">
        <w:t xml:space="preserve">. </w:t>
      </w:r>
      <w:r w:rsidR="00756367">
        <w:t xml:space="preserve">Three modes </w:t>
      </w:r>
      <w:r w:rsidR="0035395A">
        <w:t>of WB2</w:t>
      </w:r>
      <w:r w:rsidR="00EC42AB">
        <w:t xml:space="preserve"> for the downlink</w:t>
      </w:r>
      <w:r w:rsidR="0035395A">
        <w:t xml:space="preserve"> </w:t>
      </w:r>
      <w:r w:rsidR="00756367">
        <w:t>are defined</w:t>
      </w:r>
      <w:r w:rsidR="00613F09">
        <w:t xml:space="preserve"> in the LS:</w:t>
      </w:r>
    </w:p>
    <w:p w14:paraId="4AAB5FCB" w14:textId="5B4AB3D1" w:rsidR="00756367" w:rsidRPr="002B28E7" w:rsidRDefault="00756367" w:rsidP="00172C7A">
      <w:pPr>
        <w:pStyle w:val="BodyText"/>
        <w:numPr>
          <w:ilvl w:val="0"/>
          <w:numId w:val="32"/>
        </w:numPr>
        <w:spacing w:after="0"/>
      </w:pPr>
      <w:r w:rsidRPr="002B28E7">
        <w:t xml:space="preserve">Mode </w:t>
      </w:r>
      <w:r w:rsidR="0035395A">
        <w:t>1</w:t>
      </w:r>
      <w:r w:rsidRPr="002B28E7">
        <w:t>: LBT successful in all LBT sub-bands</w:t>
      </w:r>
    </w:p>
    <w:p w14:paraId="52488511" w14:textId="1916D6ED" w:rsidR="00756367" w:rsidRDefault="00756367" w:rsidP="00172C7A">
      <w:pPr>
        <w:pStyle w:val="BodyText"/>
        <w:numPr>
          <w:ilvl w:val="1"/>
          <w:numId w:val="32"/>
        </w:numPr>
        <w:spacing w:after="0"/>
      </w:pPr>
      <w:r>
        <w:t>Feasible</w:t>
      </w:r>
    </w:p>
    <w:p w14:paraId="1C3FF9B2" w14:textId="2909446E" w:rsidR="00756367" w:rsidRPr="002B28E7" w:rsidRDefault="00756367" w:rsidP="00172C7A">
      <w:pPr>
        <w:pStyle w:val="BodyText"/>
        <w:numPr>
          <w:ilvl w:val="1"/>
          <w:numId w:val="32"/>
        </w:numPr>
        <w:spacing w:after="0"/>
      </w:pPr>
      <w:r w:rsidRPr="002B28E7">
        <w:t xml:space="preserve">FFS on </w:t>
      </w:r>
      <w:proofErr w:type="gramStart"/>
      <w:r w:rsidRPr="002B28E7">
        <w:t>whether or not</w:t>
      </w:r>
      <w:proofErr w:type="gramEnd"/>
      <w:r w:rsidRPr="002B28E7">
        <w:t xml:space="preserve"> guard</w:t>
      </w:r>
      <w:r w:rsidR="00403CC6">
        <w:t xml:space="preserve"> </w:t>
      </w:r>
      <w:r w:rsidRPr="002B28E7">
        <w:t>bands are needed</w:t>
      </w:r>
    </w:p>
    <w:p w14:paraId="7CD99CBF" w14:textId="69EF54AA" w:rsidR="00756367" w:rsidRPr="002B28E7" w:rsidRDefault="00756367" w:rsidP="00172C7A">
      <w:pPr>
        <w:pStyle w:val="BodyText"/>
        <w:numPr>
          <w:ilvl w:val="0"/>
          <w:numId w:val="32"/>
        </w:numPr>
        <w:spacing w:after="0"/>
      </w:pPr>
      <w:r w:rsidRPr="002B28E7">
        <w:t xml:space="preserve">Mode </w:t>
      </w:r>
      <w:r w:rsidR="0035395A">
        <w:t>2</w:t>
      </w:r>
      <w:r w:rsidRPr="002B28E7">
        <w:t xml:space="preserve">: LBT successful in a subset of </w:t>
      </w:r>
      <w:r w:rsidR="00041F8A">
        <w:t>sub-bands</w:t>
      </w:r>
      <w:r w:rsidRPr="002B28E7">
        <w:t xml:space="preserve"> which are contiguous</w:t>
      </w:r>
    </w:p>
    <w:p w14:paraId="19DF68DB" w14:textId="16B8BF84" w:rsidR="00756367" w:rsidRPr="002B28E7" w:rsidRDefault="00756367" w:rsidP="00172C7A">
      <w:pPr>
        <w:pStyle w:val="BodyText"/>
        <w:numPr>
          <w:ilvl w:val="1"/>
          <w:numId w:val="32"/>
        </w:numPr>
        <w:spacing w:after="0"/>
      </w:pPr>
      <w:r w:rsidRPr="002B28E7">
        <w:t xml:space="preserve">Feasible </w:t>
      </w:r>
      <w:r w:rsidR="00172C7A" w:rsidRPr="002B28E7">
        <w:t>at least if the guard</w:t>
      </w:r>
      <w:r w:rsidR="00403CC6">
        <w:t xml:space="preserve"> </w:t>
      </w:r>
      <w:r w:rsidR="00172C7A" w:rsidRPr="002B28E7">
        <w:t xml:space="preserve">band within two contiguous </w:t>
      </w:r>
      <w:r w:rsidR="00041F8A">
        <w:t>sub-bands</w:t>
      </w:r>
      <w:r w:rsidR="00172C7A" w:rsidRPr="002B28E7">
        <w:t xml:space="preserve"> is not scheduled and </w:t>
      </w:r>
      <w:proofErr w:type="spellStart"/>
      <w:r w:rsidR="00172C7A" w:rsidRPr="002B28E7">
        <w:t>WiFi</w:t>
      </w:r>
      <w:proofErr w:type="spellEnd"/>
      <w:r w:rsidR="00172C7A" w:rsidRPr="002B28E7">
        <w:t xml:space="preserve">-like requirements (20 </w:t>
      </w:r>
      <w:proofErr w:type="spellStart"/>
      <w:r w:rsidR="00172C7A" w:rsidRPr="002B28E7">
        <w:t>dBr</w:t>
      </w:r>
      <w:proofErr w:type="spellEnd"/>
      <w:r w:rsidR="00172C7A" w:rsidRPr="002B28E7">
        <w:t xml:space="preserve">) are adopted for in-carrier leakage </w:t>
      </w:r>
    </w:p>
    <w:p w14:paraId="69EC9062" w14:textId="37176329" w:rsidR="00756367" w:rsidRPr="002B28E7" w:rsidRDefault="00756367" w:rsidP="00172C7A">
      <w:pPr>
        <w:pStyle w:val="BodyText"/>
        <w:numPr>
          <w:ilvl w:val="0"/>
          <w:numId w:val="32"/>
        </w:numPr>
        <w:spacing w:after="0"/>
      </w:pPr>
      <w:r w:rsidRPr="002B28E7">
        <w:t xml:space="preserve">Mode </w:t>
      </w:r>
      <w:r w:rsidR="0035395A">
        <w:t>3</w:t>
      </w:r>
      <w:r w:rsidRPr="002B28E7">
        <w:t xml:space="preserve">: LBT successful in a subset of </w:t>
      </w:r>
      <w:r w:rsidR="00041F8A">
        <w:t>sub-bands</w:t>
      </w:r>
      <w:r w:rsidRPr="002B28E7">
        <w:t xml:space="preserve"> which are non-contiguous</w:t>
      </w:r>
    </w:p>
    <w:p w14:paraId="26776F5B" w14:textId="062E68C6" w:rsidR="00172C7A" w:rsidRPr="002B28E7" w:rsidRDefault="00172C7A" w:rsidP="00172C7A">
      <w:pPr>
        <w:pStyle w:val="BodyText"/>
        <w:numPr>
          <w:ilvl w:val="1"/>
          <w:numId w:val="32"/>
        </w:numPr>
        <w:spacing w:after="0"/>
      </w:pPr>
      <w:r w:rsidRPr="002B28E7">
        <w:t>Feasible at least if guard</w:t>
      </w:r>
      <w:r w:rsidR="00403CC6">
        <w:t xml:space="preserve"> </w:t>
      </w:r>
      <w:r w:rsidRPr="002B28E7">
        <w:t xml:space="preserve">bands within two contiguous </w:t>
      </w:r>
      <w:r w:rsidR="00041F8A">
        <w:t>sub-bands</w:t>
      </w:r>
      <w:r w:rsidRPr="002B28E7">
        <w:t xml:space="preserve"> is not scheduled and </w:t>
      </w:r>
      <w:proofErr w:type="spellStart"/>
      <w:r w:rsidRPr="002B28E7">
        <w:t>WiFi</w:t>
      </w:r>
      <w:proofErr w:type="spellEnd"/>
      <w:r w:rsidRPr="002B28E7">
        <w:t xml:space="preserve">-like requirements (20 </w:t>
      </w:r>
      <w:proofErr w:type="spellStart"/>
      <w:r w:rsidRPr="002B28E7">
        <w:t>dBr</w:t>
      </w:r>
      <w:proofErr w:type="spellEnd"/>
      <w:r w:rsidRPr="002B28E7">
        <w:t>) are adopted for in-carrier leakage</w:t>
      </w:r>
    </w:p>
    <w:p w14:paraId="10FCAE61" w14:textId="48BA8BD1" w:rsidR="00172C7A" w:rsidRPr="002B28E7" w:rsidRDefault="00172C7A" w:rsidP="00172C7A">
      <w:pPr>
        <w:pStyle w:val="BodyText"/>
        <w:spacing w:after="0"/>
      </w:pPr>
    </w:p>
    <w:p w14:paraId="52FF63D1" w14:textId="677C2CAA" w:rsidR="00D67979" w:rsidRPr="002B28E7" w:rsidRDefault="006001F6" w:rsidP="00172C7A">
      <w:pPr>
        <w:pStyle w:val="BodyText"/>
      </w:pPr>
      <w:r>
        <w:t>For Modes 2 and 3</w:t>
      </w:r>
      <w:r w:rsidR="00172C7A" w:rsidRPr="002B28E7">
        <w:t xml:space="preserve">, it is FFS </w:t>
      </w:r>
      <w:proofErr w:type="gramStart"/>
      <w:r w:rsidR="00172C7A" w:rsidRPr="002B28E7">
        <w:t>whether or not</w:t>
      </w:r>
      <w:proofErr w:type="gramEnd"/>
      <w:r w:rsidR="00172C7A" w:rsidRPr="002B28E7">
        <w:t xml:space="preserve"> </w:t>
      </w:r>
      <w:r>
        <w:t xml:space="preserve">the </w:t>
      </w:r>
      <w:proofErr w:type="spellStart"/>
      <w:r w:rsidR="00172C7A" w:rsidRPr="002B28E7">
        <w:t>WiFi</w:t>
      </w:r>
      <w:proofErr w:type="spellEnd"/>
      <w:r w:rsidR="00172C7A" w:rsidRPr="002B28E7">
        <w:t>-like requirements meet regional regulatory requirements, e.g., ETSI-BRAN</w:t>
      </w:r>
      <w:r w:rsidR="00D67979" w:rsidRPr="002B28E7">
        <w:t>.</w:t>
      </w:r>
    </w:p>
    <w:p w14:paraId="5CF193CA" w14:textId="33FDEF1B" w:rsidR="00D67979" w:rsidRDefault="00613F09" w:rsidP="005B28E4">
      <w:pPr>
        <w:pStyle w:val="Observation"/>
        <w:ind w:left="1710" w:hanging="1710"/>
      </w:pPr>
      <w:bookmarkStart w:id="10" w:name="_Toc16685189"/>
      <w:r w:rsidRPr="002B28E7">
        <w:t xml:space="preserve">The feasibility of </w:t>
      </w:r>
      <w:r w:rsidR="00CA0922" w:rsidRPr="002B28E7">
        <w:t xml:space="preserve">WB2 </w:t>
      </w:r>
      <w:r w:rsidR="00EC42AB">
        <w:t xml:space="preserve">in the downlink (Modes 2 and 3) </w:t>
      </w:r>
      <w:r w:rsidR="00076742" w:rsidRPr="002B28E7">
        <w:t>is dependent o</w:t>
      </w:r>
      <w:r w:rsidR="006A6736">
        <w:t>n</w:t>
      </w:r>
      <w:r w:rsidR="00D67979" w:rsidRPr="002B28E7">
        <w:t xml:space="preserve"> guard</w:t>
      </w:r>
      <w:r w:rsidR="00403CC6">
        <w:t xml:space="preserve"> </w:t>
      </w:r>
      <w:r w:rsidR="00D67979" w:rsidRPr="002B28E7">
        <w:t xml:space="preserve">bands not </w:t>
      </w:r>
      <w:r w:rsidR="00076742" w:rsidRPr="002B28E7">
        <w:t xml:space="preserve">being </w:t>
      </w:r>
      <w:r w:rsidR="00D67979" w:rsidRPr="002B28E7">
        <w:t xml:space="preserve">scheduled and relaxed RF requirements for in-carrier leakage </w:t>
      </w:r>
      <w:r w:rsidR="00403CC6">
        <w:t>being</w:t>
      </w:r>
      <w:r w:rsidR="00D67979" w:rsidRPr="002B28E7">
        <w:t xml:space="preserve"> defined, e.g., 20 </w:t>
      </w:r>
      <w:proofErr w:type="spellStart"/>
      <w:r w:rsidR="00D67979" w:rsidRPr="002B28E7">
        <w:t>dBr</w:t>
      </w:r>
      <w:proofErr w:type="spellEnd"/>
      <w:r w:rsidR="00D67979" w:rsidRPr="002B28E7">
        <w:t xml:space="preserve"> Wi-Fi like requirements</w:t>
      </w:r>
      <w:r w:rsidRPr="002B28E7">
        <w:t>.</w:t>
      </w:r>
      <w:bookmarkEnd w:id="10"/>
    </w:p>
    <w:p w14:paraId="09E144A3" w14:textId="34E84C97" w:rsidR="0035395A" w:rsidRDefault="0035395A" w:rsidP="00CA0922">
      <w:pPr>
        <w:pStyle w:val="BodyText"/>
      </w:pPr>
      <w:r>
        <w:t xml:space="preserve">In the </w:t>
      </w:r>
      <w:r w:rsidR="00993090">
        <w:t>most recent</w:t>
      </w:r>
      <w:r>
        <w:t xml:space="preserve"> RAN4 meeting</w:t>
      </w:r>
      <w:r w:rsidR="00EC42AB">
        <w:t xml:space="preserve"> (RAN4 #91)</w:t>
      </w:r>
      <w:r>
        <w:t xml:space="preserve">, it was discussed </w:t>
      </w:r>
      <w:proofErr w:type="gramStart"/>
      <w:r>
        <w:t>whether or not</w:t>
      </w:r>
      <w:proofErr w:type="gramEnd"/>
      <w:r>
        <w:t xml:space="preserve"> the 20 </w:t>
      </w:r>
      <w:proofErr w:type="spellStart"/>
      <w:r>
        <w:t>dBr</w:t>
      </w:r>
      <w:proofErr w:type="spellEnd"/>
      <w:r>
        <w:t xml:space="preserve"> </w:t>
      </w:r>
      <w:proofErr w:type="spellStart"/>
      <w:r>
        <w:t>WiFi</w:t>
      </w:r>
      <w:proofErr w:type="spellEnd"/>
      <w:r>
        <w:t xml:space="preserve"> preamble punctured mask</w:t>
      </w:r>
      <w:r w:rsidR="00A878B4">
        <w:t xml:space="preserve"> is compliant with the ETSI-BRAN harmonized standard EN 301 893 v2.1.1. It was observed in both [8] and [9], that it is not compliant, which triggered </w:t>
      </w:r>
      <w:proofErr w:type="gramStart"/>
      <w:r w:rsidR="00A878B4">
        <w:t>an</w:t>
      </w:r>
      <w:proofErr w:type="gramEnd"/>
      <w:r w:rsidR="00A878B4">
        <w:t xml:space="preserve"> LS </w:t>
      </w:r>
      <w:r w:rsidR="00993090">
        <w:t xml:space="preserve">to be sent </w:t>
      </w:r>
      <w:r w:rsidR="00A878B4">
        <w:t>from RAN4 to ETSI-BRAN</w:t>
      </w:r>
      <w:r w:rsidR="00993090">
        <w:t xml:space="preserve"> </w:t>
      </w:r>
      <w:r w:rsidR="00993090">
        <w:fldChar w:fldCharType="begin"/>
      </w:r>
      <w:r w:rsidR="00993090">
        <w:instrText xml:space="preserve"> REF _Ref16171605 \r \h </w:instrText>
      </w:r>
      <w:r w:rsidR="00993090">
        <w:fldChar w:fldCharType="separate"/>
      </w:r>
      <w:r w:rsidR="00C355A4">
        <w:t>[10]</w:t>
      </w:r>
      <w:r w:rsidR="00993090">
        <w:fldChar w:fldCharType="end"/>
      </w:r>
      <w:r w:rsidR="00A878B4">
        <w:t>. Feedback on this LS is still pending.</w:t>
      </w:r>
    </w:p>
    <w:p w14:paraId="34F6ECEB" w14:textId="75D8082D" w:rsidR="00967C9D" w:rsidRPr="002B28E7" w:rsidRDefault="00784AAF" w:rsidP="00967C9D">
      <w:pPr>
        <w:pStyle w:val="BodyText"/>
        <w:rPr>
          <w:rFonts w:eastAsia="SimSun"/>
        </w:rPr>
      </w:pPr>
      <w:r>
        <w:t>In the LS, it is shown that</w:t>
      </w:r>
      <w:r w:rsidR="00967C9D">
        <w:t xml:space="preserve"> adoption of Wi-Fi like </w:t>
      </w:r>
      <w:r w:rsidR="00967C9D" w:rsidRPr="002B28E7">
        <w:t xml:space="preserve">requirements (20 </w:t>
      </w:r>
      <w:proofErr w:type="spellStart"/>
      <w:r w:rsidR="00967C9D" w:rsidRPr="002B28E7">
        <w:t>dBr</w:t>
      </w:r>
      <w:proofErr w:type="spellEnd"/>
      <w:r w:rsidR="00967C9D" w:rsidRPr="002B28E7">
        <w:t>) for in-carrier leakage</w:t>
      </w:r>
      <w:r w:rsidR="00967C9D">
        <w:t xml:space="preserve"> is a significant relaxation compared to ETSI BRAN requirements for the case of channel puncturing. </w:t>
      </w:r>
      <w:r w:rsidR="00967C9D" w:rsidRPr="002B28E7">
        <w:t xml:space="preserve">In </w:t>
      </w:r>
      <w:r>
        <w:fldChar w:fldCharType="begin"/>
      </w:r>
      <w:r>
        <w:instrText xml:space="preserve"> REF _Ref7716718 \r \h </w:instrText>
      </w:r>
      <w:r>
        <w:fldChar w:fldCharType="separate"/>
      </w:r>
      <w:r w:rsidR="00C355A4">
        <w:t>[11]</w:t>
      </w:r>
      <w:r>
        <w:fldChar w:fldCharType="end"/>
      </w:r>
      <w:r w:rsidR="00967C9D" w:rsidRPr="002B28E7">
        <w:t xml:space="preserve"> it is observed that “</w:t>
      </w:r>
      <w:r w:rsidR="00967C9D" w:rsidRPr="002B28E7">
        <w:rPr>
          <w:rFonts w:eastAsia="SimSun"/>
        </w:rPr>
        <w:t xml:space="preserve">this relaxed in-carrier emission requirements compared with LAA adjacent channel requirements may degrade system performance, if only LAA and NR-U deployed without Wi-Fi system.” If such Wi-Fi like requirements are adopted for NR-U, such a degradation of LTE-LAA performance </w:t>
      </w:r>
      <w:r w:rsidR="00967C9D">
        <w:rPr>
          <w:rFonts w:eastAsia="SimSun"/>
        </w:rPr>
        <w:t>may</w:t>
      </w:r>
      <w:r w:rsidR="00967C9D" w:rsidRPr="002B28E7">
        <w:rPr>
          <w:rFonts w:eastAsia="SimSun"/>
        </w:rPr>
        <w:t xml:space="preserve"> occur, for example, in outdoor LTE-LAA deployments where Wi-Fi may not be expected.</w:t>
      </w:r>
      <w:r>
        <w:rPr>
          <w:rFonts w:eastAsia="SimSun"/>
        </w:rPr>
        <w:t xml:space="preserve"> Based on this as well as our own analysis in </w:t>
      </w:r>
      <w:r>
        <w:t>[9], we observe the following</w:t>
      </w:r>
    </w:p>
    <w:p w14:paraId="51E299A3" w14:textId="028AC4F1" w:rsidR="00967C9D" w:rsidRDefault="00967C9D" w:rsidP="00B14D49">
      <w:pPr>
        <w:pStyle w:val="Observation"/>
        <w:ind w:left="1710" w:hanging="1710"/>
      </w:pPr>
      <w:bookmarkStart w:id="11" w:name="_Toc16685190"/>
      <w:r w:rsidRPr="002B28E7">
        <w:t xml:space="preserve">If NR-U adopts Wi-Fi like (20 </w:t>
      </w:r>
      <w:proofErr w:type="spellStart"/>
      <w:r w:rsidRPr="002B28E7">
        <w:t>dBr</w:t>
      </w:r>
      <w:proofErr w:type="spellEnd"/>
      <w:r w:rsidRPr="002B28E7">
        <w:t xml:space="preserve">) RF requirements for spectral emission masks, </w:t>
      </w:r>
      <w:r w:rsidR="00784AAF">
        <w:t xml:space="preserve">already deployed </w:t>
      </w:r>
      <w:r w:rsidRPr="002B28E7">
        <w:t>LTE-LAA</w:t>
      </w:r>
      <w:r w:rsidR="00784AAF">
        <w:t xml:space="preserve"> may be harmed by adjacent channel interference from </w:t>
      </w:r>
      <w:r w:rsidRPr="002B28E7">
        <w:t>NR-U</w:t>
      </w:r>
      <w:r>
        <w:t>.</w:t>
      </w:r>
      <w:bookmarkEnd w:id="11"/>
    </w:p>
    <w:p w14:paraId="0441EF6D" w14:textId="6C4DE0E7" w:rsidR="00EC42AB" w:rsidRDefault="00EC42AB" w:rsidP="004A3521">
      <w:pPr>
        <w:pStyle w:val="Heading2"/>
      </w:pPr>
      <w:r>
        <w:t>2.2</w:t>
      </w:r>
      <w:r>
        <w:tab/>
        <w:t>Uplink</w:t>
      </w:r>
    </w:p>
    <w:p w14:paraId="0D4FA42A" w14:textId="58607B2C" w:rsidR="00993090" w:rsidRDefault="00A878B4" w:rsidP="00CA0922">
      <w:pPr>
        <w:pStyle w:val="BodyText"/>
      </w:pPr>
      <w:r>
        <w:t xml:space="preserve">Regarding the uplink, </w:t>
      </w:r>
      <w:r w:rsidR="00993090">
        <w:t xml:space="preserve">RAN1 sent </w:t>
      </w:r>
      <w:proofErr w:type="gramStart"/>
      <w:r w:rsidR="00993090">
        <w:t>an</w:t>
      </w:r>
      <w:proofErr w:type="gramEnd"/>
      <w:r w:rsidR="00993090">
        <w:t xml:space="preserve"> LS to RAN4 </w:t>
      </w:r>
      <w:r w:rsidR="00993090">
        <w:fldChar w:fldCharType="begin"/>
      </w:r>
      <w:r w:rsidR="00993090">
        <w:instrText xml:space="preserve"> REF _Ref16171115 \r \h </w:instrText>
      </w:r>
      <w:r w:rsidR="00993090">
        <w:fldChar w:fldCharType="separate"/>
      </w:r>
      <w:r w:rsidR="00C355A4">
        <w:t>[6]</w:t>
      </w:r>
      <w:r w:rsidR="00993090">
        <w:fldChar w:fldCharType="end"/>
      </w:r>
      <w:r w:rsidR="00993090">
        <w:t xml:space="preserve"> informing RAN4 of the UL agreement shown in </w:t>
      </w:r>
      <w:r w:rsidR="006A6736">
        <w:t>Section 1 of this paper</w:t>
      </w:r>
      <w:r w:rsidR="00993090">
        <w:t>. This agreement lists two alternatives:</w:t>
      </w:r>
    </w:p>
    <w:p w14:paraId="50C05835" w14:textId="78FA5589" w:rsidR="00A878B4" w:rsidRPr="005B28E4" w:rsidRDefault="00993090" w:rsidP="00993090">
      <w:pPr>
        <w:pStyle w:val="BodyText"/>
        <w:numPr>
          <w:ilvl w:val="0"/>
          <w:numId w:val="37"/>
        </w:numPr>
        <w:rPr>
          <w:rFonts w:cs="Arial"/>
        </w:rPr>
      </w:pPr>
      <w:r w:rsidRPr="005B28E4">
        <w:rPr>
          <w:rFonts w:cs="Arial"/>
        </w:rPr>
        <w:t xml:space="preserve">Alt-1: </w:t>
      </w:r>
      <w:r w:rsidRPr="005B28E4">
        <w:rPr>
          <w:rFonts w:eastAsia="Batang" w:cs="Arial"/>
          <w:lang w:val="en-GB" w:eastAsia="x-none"/>
        </w:rPr>
        <w:t>UE transmits the PUSCH only if CCA is successful at UE in all LBT bandwidths of the scheduled PUSCH</w:t>
      </w:r>
      <w:r w:rsidRPr="005B28E4">
        <w:rPr>
          <w:rFonts w:cs="Arial"/>
        </w:rPr>
        <w:t xml:space="preserve"> </w:t>
      </w:r>
    </w:p>
    <w:p w14:paraId="2087639D" w14:textId="416CD107" w:rsidR="00993090" w:rsidRPr="005B28E4" w:rsidRDefault="00993090" w:rsidP="00993090">
      <w:pPr>
        <w:pStyle w:val="BodyText"/>
        <w:numPr>
          <w:ilvl w:val="0"/>
          <w:numId w:val="37"/>
        </w:numPr>
        <w:rPr>
          <w:rFonts w:cs="Arial"/>
        </w:rPr>
      </w:pPr>
      <w:r w:rsidRPr="005B28E4">
        <w:rPr>
          <w:rFonts w:cs="Arial"/>
        </w:rPr>
        <w:lastRenderedPageBreak/>
        <w:t xml:space="preserve">Alt-2: </w:t>
      </w:r>
      <w:r w:rsidRPr="005B28E4">
        <w:rPr>
          <w:rFonts w:eastAsia="Batang" w:cs="Arial"/>
          <w:bCs/>
          <w:lang w:val="en-GB" w:eastAsia="x-none"/>
        </w:rPr>
        <w:t>UE transmits the PUSCH in all or a subset of LBT bandwidths of the scheduled PUSCH for which CCA is successful at the UE.</w:t>
      </w:r>
    </w:p>
    <w:p w14:paraId="63765BBF" w14:textId="03DFCA2B" w:rsidR="005B28E4" w:rsidRDefault="00993090" w:rsidP="00993090">
      <w:pPr>
        <w:pStyle w:val="BodyText"/>
      </w:pPr>
      <w:r>
        <w:t>RAN1 agreed that at least Alt-1 is supported, but asked RAN4 for feasibility of Alt-2. Feedback on this LS is still pending.</w:t>
      </w:r>
      <w:r w:rsidR="005B28E4">
        <w:t xml:space="preserve"> </w:t>
      </w:r>
      <w:r>
        <w:t>However, in the meantime, RAN offered guidance to RAN1</w:t>
      </w:r>
      <w:r w:rsidR="005B28E4">
        <w:t xml:space="preserve"> on essential functionality for NR-U on many </w:t>
      </w:r>
      <w:r w:rsidR="00CA3BFA">
        <w:t xml:space="preserve">of the remaining </w:t>
      </w:r>
      <w:r w:rsidR="005B28E4">
        <w:t xml:space="preserve">open issues in the WI </w:t>
      </w:r>
      <w:r w:rsidR="005B28E4">
        <w:fldChar w:fldCharType="begin"/>
      </w:r>
      <w:r w:rsidR="005B28E4">
        <w:instrText xml:space="preserve"> REF _Ref16172201 \r \h </w:instrText>
      </w:r>
      <w:r w:rsidR="005B28E4">
        <w:fldChar w:fldCharType="separate"/>
      </w:r>
      <w:r w:rsidR="00C355A4">
        <w:t>[12]</w:t>
      </w:r>
      <w:r w:rsidR="005B28E4">
        <w:fldChar w:fldCharType="end"/>
      </w:r>
      <w:r w:rsidR="005B28E4">
        <w:t>. In this guidance, Alt-2 is listed as an optimization. Based on this, we observe the following:</w:t>
      </w:r>
    </w:p>
    <w:p w14:paraId="20BE331C" w14:textId="13BE0A7E" w:rsidR="005B28E4" w:rsidRDefault="005B28E4" w:rsidP="00993090">
      <w:pPr>
        <w:pStyle w:val="Observation"/>
        <w:ind w:left="1710" w:hanging="1710"/>
      </w:pPr>
      <w:bookmarkStart w:id="12" w:name="_Toc16685191"/>
      <w:r>
        <w:t>RAN1 shall prioritize Alt-1 for WB2 in the uplink, i.e., the UE transmits PUSCH only if CCA is successful at the UE in all LBT bandwidths of the scheduled PUSCH.</w:t>
      </w:r>
      <w:bookmarkEnd w:id="12"/>
      <w:r>
        <w:t xml:space="preserve"> </w:t>
      </w:r>
    </w:p>
    <w:p w14:paraId="70B0832A" w14:textId="3EB9FA04" w:rsidR="00DA2C67" w:rsidRDefault="005B28E4" w:rsidP="00993090">
      <w:pPr>
        <w:pStyle w:val="BodyText"/>
      </w:pPr>
      <w:r>
        <w:t xml:space="preserve">With this observation, it is our understanding that PUSCH transmission in a wideband carrier (carrier bandwidth &gt; LBT bandwidth) can be achieved with existing Rel-15 functionality. No further work in RAN1 is needed other than to </w:t>
      </w:r>
      <w:r w:rsidR="00967C9D">
        <w:t>specify interlaced transmission for the UL and PUSCH frequency domain resource allocation. The latter is treated in our paper in the UL Signals and Channels agenda item</w:t>
      </w:r>
      <w:r w:rsidR="001F1766">
        <w:t xml:space="preserve"> </w:t>
      </w:r>
      <w:r w:rsidR="001F1766">
        <w:fldChar w:fldCharType="begin"/>
      </w:r>
      <w:r w:rsidR="001F1766">
        <w:instrText xml:space="preserve"> REF _Ref16178072 \r \h </w:instrText>
      </w:r>
      <w:r w:rsidR="001F1766">
        <w:fldChar w:fldCharType="separate"/>
      </w:r>
      <w:r w:rsidR="00C355A4">
        <w:t>[13]</w:t>
      </w:r>
      <w:r w:rsidR="001F1766">
        <w:fldChar w:fldCharType="end"/>
      </w:r>
      <w:r w:rsidR="00967C9D">
        <w:t>.</w:t>
      </w:r>
    </w:p>
    <w:p w14:paraId="46E6BEC9" w14:textId="590D20D7" w:rsidR="005B28E4" w:rsidRDefault="00DA2C67" w:rsidP="00C171F6">
      <w:pPr>
        <w:pStyle w:val="Proposal"/>
      </w:pPr>
      <w:bookmarkStart w:id="13" w:name="_Toc16685193"/>
      <w:r>
        <w:t>No further work is needed in the Wideband Agenda item for wideband operation in the uplink.</w:t>
      </w:r>
      <w:bookmarkEnd w:id="13"/>
      <w:r w:rsidR="00967C9D">
        <w:t xml:space="preserve">  </w:t>
      </w:r>
    </w:p>
    <w:p w14:paraId="4102A26F" w14:textId="3503C850" w:rsidR="00993090" w:rsidRDefault="00967C9D" w:rsidP="004A3521">
      <w:pPr>
        <w:pStyle w:val="Heading1"/>
      </w:pPr>
      <w:r>
        <w:t>3</w:t>
      </w:r>
      <w:r>
        <w:tab/>
        <w:t>Open Issues for Wideband Operation (WB2) in the Downlink</w:t>
      </w:r>
    </w:p>
    <w:p w14:paraId="4DEA6BE0" w14:textId="3432853B" w:rsidR="00B14D49" w:rsidRDefault="00967C9D" w:rsidP="00CA0922">
      <w:pPr>
        <w:pStyle w:val="BodyText"/>
      </w:pPr>
      <w:r>
        <w:t xml:space="preserve">Given that </w:t>
      </w:r>
      <w:r w:rsidR="00B14D49">
        <w:t>the remaining open issues for the</w:t>
      </w:r>
      <w:r>
        <w:t xml:space="preserve"> uplink</w:t>
      </w:r>
      <w:r w:rsidR="00B14D49">
        <w:t xml:space="preserve"> are treated in another agenda item</w:t>
      </w:r>
      <w:r>
        <w:t>, here we focus on open issues for wideband operation for the downlink.</w:t>
      </w:r>
    </w:p>
    <w:p w14:paraId="3401A499" w14:textId="564C27DC" w:rsidR="00B14D49" w:rsidRDefault="00206759" w:rsidP="004A3521">
      <w:pPr>
        <w:pStyle w:val="Heading2"/>
      </w:pPr>
      <w:r>
        <w:t>3.1</w:t>
      </w:r>
      <w:r>
        <w:tab/>
      </w:r>
      <w:r w:rsidR="00B14D49">
        <w:t>PDSCH Transmission</w:t>
      </w:r>
    </w:p>
    <w:p w14:paraId="08BFB4DD" w14:textId="7793DC3B" w:rsidR="00206759" w:rsidRDefault="00B14D49" w:rsidP="00CA0922">
      <w:pPr>
        <w:pStyle w:val="BodyText"/>
      </w:pPr>
      <w:r>
        <w:t>Provided that the spectral emission mask issues discussed in the previous section can be resolved</w:t>
      </w:r>
      <w:r w:rsidR="00206759">
        <w:t xml:space="preserve"> within both ETSI-BRAN and RAN4</w:t>
      </w:r>
      <w:r>
        <w:t xml:space="preserve">, the feasibility of </w:t>
      </w:r>
      <w:r w:rsidR="00206759">
        <w:t xml:space="preserve">wideband operation in the downlink comes down to methods by which </w:t>
      </w:r>
      <w:r w:rsidR="00DA2C67">
        <w:t xml:space="preserve">PDSCH </w:t>
      </w:r>
      <w:r w:rsidR="00206759">
        <w:t>scheduling</w:t>
      </w:r>
      <w:r w:rsidR="00DA2C67">
        <w:t xml:space="preserve"> can avoid </w:t>
      </w:r>
      <w:proofErr w:type="spellStart"/>
      <w:r w:rsidR="00206759">
        <w:t>guardbands</w:t>
      </w:r>
      <w:proofErr w:type="spellEnd"/>
      <w:r w:rsidR="00206759">
        <w:t xml:space="preserve"> between </w:t>
      </w:r>
      <w:r w:rsidR="00DA2C67">
        <w:t xml:space="preserve">LBT </w:t>
      </w:r>
      <w:proofErr w:type="spellStart"/>
      <w:r w:rsidR="00206759">
        <w:t>subbands</w:t>
      </w:r>
      <w:proofErr w:type="spellEnd"/>
      <w:r w:rsidR="00206759">
        <w:t xml:space="preserve"> of a wideband carrier (CBW &gt; LBW). This is simplified by the following conclusion from RAN1#97:</w:t>
      </w:r>
    </w:p>
    <w:p w14:paraId="3DF55CC6" w14:textId="77777777" w:rsidR="00206759" w:rsidRPr="00CF2AF0" w:rsidRDefault="00206759" w:rsidP="00206759">
      <w:pPr>
        <w:spacing w:after="0" w:line="240" w:lineRule="auto"/>
        <w:ind w:left="567"/>
        <w:rPr>
          <w:rFonts w:ascii="Times" w:eastAsia="Batang" w:hAnsi="Times" w:cs="Times New Roman"/>
          <w:sz w:val="20"/>
          <w:szCs w:val="24"/>
          <w:u w:val="single"/>
          <w:lang w:val="en-GB"/>
        </w:rPr>
      </w:pPr>
      <w:r w:rsidRPr="00CF2AF0">
        <w:rPr>
          <w:rFonts w:ascii="Times" w:eastAsia="Batang" w:hAnsi="Times" w:cs="Times New Roman"/>
          <w:sz w:val="20"/>
          <w:szCs w:val="24"/>
          <w:highlight w:val="cyan"/>
          <w:u w:val="single"/>
          <w:lang w:val="en-GB"/>
        </w:rPr>
        <w:t>Conclusion</w:t>
      </w:r>
      <w:r w:rsidRPr="00CF2AF0">
        <w:rPr>
          <w:rFonts w:ascii="Times" w:eastAsia="Batang" w:hAnsi="Times" w:cs="Times New Roman"/>
          <w:sz w:val="20"/>
          <w:szCs w:val="24"/>
          <w:u w:val="single"/>
          <w:lang w:val="en-GB"/>
        </w:rPr>
        <w:t>:</w:t>
      </w:r>
    </w:p>
    <w:p w14:paraId="08F4E09D" w14:textId="77777777" w:rsidR="00206759" w:rsidRPr="00CF2AF0" w:rsidRDefault="00206759" w:rsidP="00206759">
      <w:pPr>
        <w:spacing w:line="252" w:lineRule="auto"/>
        <w:ind w:left="567"/>
        <w:contextualSpacing/>
        <w:rPr>
          <w:rFonts w:ascii="Calibri" w:eastAsia="Times New Roman" w:hAnsi="Calibri" w:cs="Times"/>
          <w:sz w:val="20"/>
          <w:szCs w:val="20"/>
          <w:lang w:val="en-GB" w:eastAsia="zh-CN"/>
        </w:rPr>
      </w:pPr>
      <w:r w:rsidRPr="00CF2AF0">
        <w:rPr>
          <w:rFonts w:ascii="Times" w:eastAsia="Times New Roman" w:hAnsi="Times" w:cs="Times"/>
          <w:sz w:val="20"/>
          <w:szCs w:val="24"/>
          <w:lang w:val="en-GB" w:eastAsia="ko-KR"/>
        </w:rPr>
        <w:t>A UE can receive a PDSCH scheduled within an LBT bandwidth or over multiple LBT bandwidths as per Rel-15 and current agreements in Rel-16.</w:t>
      </w:r>
    </w:p>
    <w:p w14:paraId="5138C036" w14:textId="7550E0DE" w:rsidR="00220BBF" w:rsidRDefault="00206759" w:rsidP="00CA0922">
      <w:pPr>
        <w:pStyle w:val="BodyText"/>
      </w:pPr>
      <w:r>
        <w:t xml:space="preserve">Our understanding of this conclusion is that initially within a COT, one or multiple PDSCHs </w:t>
      </w:r>
      <w:r w:rsidR="00EC1F46">
        <w:t>can</w:t>
      </w:r>
      <w:r>
        <w:t xml:space="preserve"> be scheduled, with one PDSCH per </w:t>
      </w:r>
      <w:r w:rsidR="00220BBF">
        <w:t xml:space="preserve">LBT </w:t>
      </w:r>
      <w:r>
        <w:t xml:space="preserve">sub-band. Later in the COT, when the LBT outcome is known by the gNB and the scheduler has time to react, one or multiple PDSCHs can be scheduled spanning one or more LBT </w:t>
      </w:r>
      <w:proofErr w:type="spellStart"/>
      <w:r>
        <w:t>subbands</w:t>
      </w:r>
      <w:proofErr w:type="spellEnd"/>
      <w:r>
        <w:t xml:space="preserve">. In both cases, the </w:t>
      </w:r>
      <w:proofErr w:type="spellStart"/>
      <w:r>
        <w:t>guardbands</w:t>
      </w:r>
      <w:proofErr w:type="spellEnd"/>
      <w:r>
        <w:t xml:space="preserve"> can be avoided based on existing Rel-15 functionalit</w:t>
      </w:r>
      <w:r w:rsidR="00220BBF">
        <w:t xml:space="preserve">y, specifically </w:t>
      </w:r>
      <w:r w:rsidR="00517B0B">
        <w:t xml:space="preserve">using </w:t>
      </w:r>
      <w:r w:rsidR="00220BBF">
        <w:t>DCI</w:t>
      </w:r>
      <w:r w:rsidR="00517B0B">
        <w:t>-</w:t>
      </w:r>
      <w:r w:rsidR="00220BBF">
        <w:t>based signaling of frequency domain resource allocation</w:t>
      </w:r>
      <w:r w:rsidR="00C207A8">
        <w:t xml:space="preserve"> (Type 0 or Type 1) </w:t>
      </w:r>
      <w:r w:rsidR="00220BBF">
        <w:t>and DCI-based signaling of PRB-level reserved resources</w:t>
      </w:r>
      <w:r w:rsidR="00517B0B">
        <w:t xml:space="preserve"> if needed</w:t>
      </w:r>
      <w:r w:rsidR="00220BBF">
        <w:t>.</w:t>
      </w:r>
    </w:p>
    <w:p w14:paraId="7906D5D7" w14:textId="70DAEE91" w:rsidR="00206759" w:rsidRDefault="00206759" w:rsidP="00CA0922">
      <w:pPr>
        <w:pStyle w:val="BodyText"/>
      </w:pPr>
      <w:r>
        <w:t xml:space="preserve">Clearly, all of this is simplified if the guards between LBT </w:t>
      </w:r>
      <w:proofErr w:type="spellStart"/>
      <w:r>
        <w:t>subbands</w:t>
      </w:r>
      <w:proofErr w:type="spellEnd"/>
      <w:r>
        <w:t xml:space="preserve"> </w:t>
      </w:r>
      <w:r w:rsidR="00517B0B" w:rsidRPr="00517B0B">
        <w:rPr>
          <w:i/>
        </w:rPr>
        <w:t>within</w:t>
      </w:r>
      <w:r w:rsidR="00517B0B">
        <w:t xml:space="preserve"> a wideband carrier </w:t>
      </w:r>
      <w:r w:rsidR="0000706E">
        <w:t>consist of</w:t>
      </w:r>
      <w:r>
        <w:t xml:space="preserve"> integer number</w:t>
      </w:r>
      <w:r w:rsidR="0099169D">
        <w:t>s</w:t>
      </w:r>
      <w:r>
        <w:t xml:space="preserve"> of PRBs since the basic scheduling unit is a PRB.</w:t>
      </w:r>
      <w:r w:rsidR="00517B0B">
        <w:t xml:space="preserve"> We refer to these as </w:t>
      </w:r>
      <w:r w:rsidR="00517B0B" w:rsidRPr="00517B0B">
        <w:rPr>
          <w:i/>
        </w:rPr>
        <w:t>intra-carrier</w:t>
      </w:r>
      <w:r w:rsidR="00517B0B">
        <w:t xml:space="preserve"> guard</w:t>
      </w:r>
      <w:r w:rsidR="00C207A8">
        <w:t>s</w:t>
      </w:r>
      <w:r w:rsidR="00517B0B">
        <w:t xml:space="preserve"> in order to distinguish these from existing </w:t>
      </w:r>
      <w:r w:rsidR="00517B0B" w:rsidRPr="00517B0B">
        <w:rPr>
          <w:i/>
        </w:rPr>
        <w:t>inter-carrier</w:t>
      </w:r>
      <w:r w:rsidR="00517B0B">
        <w:t xml:space="preserve"> </w:t>
      </w:r>
      <w:proofErr w:type="spellStart"/>
      <w:r w:rsidR="00517B0B">
        <w:t>guard</w:t>
      </w:r>
      <w:r w:rsidR="00C207A8">
        <w:t>bands</w:t>
      </w:r>
      <w:proofErr w:type="spellEnd"/>
      <w:r w:rsidR="00517B0B">
        <w:t xml:space="preserve"> already specified by RAN4 in Rel-15</w:t>
      </w:r>
      <w:r w:rsidR="00C207A8">
        <w:t xml:space="preserve"> (see minimum </w:t>
      </w:r>
      <w:proofErr w:type="spellStart"/>
      <w:r w:rsidR="00C207A8">
        <w:t>guardband</w:t>
      </w:r>
      <w:proofErr w:type="spellEnd"/>
      <w:r w:rsidR="00C207A8">
        <w:t xml:space="preserve"> requirements in Table 5.3.3-1 in 38.104 expressed in kHz)</w:t>
      </w:r>
      <w:r w:rsidR="00517B0B">
        <w:t>.</w:t>
      </w:r>
      <w:r w:rsidR="00C207A8">
        <w:t xml:space="preserve"> Indeed, the latter are not an integer multiple of a PRB.</w:t>
      </w:r>
      <w:r w:rsidR="00517B0B">
        <w:t xml:space="preserve"> Input from RAN4 will be needed on the size of </w:t>
      </w:r>
      <w:r w:rsidR="00C207A8">
        <w:t>newly defined</w:t>
      </w:r>
      <w:r w:rsidR="00517B0B">
        <w:t xml:space="preserve"> intra-carrier guards in order to meet </w:t>
      </w:r>
      <w:r w:rsidR="00595F2E">
        <w:t>the required</w:t>
      </w:r>
      <w:r w:rsidR="00517B0B">
        <w:t xml:space="preserve"> level of in-</w:t>
      </w:r>
      <w:r w:rsidR="00C207A8">
        <w:t>carrier</w:t>
      </w:r>
      <w:r w:rsidR="00517B0B">
        <w:t xml:space="preserve"> leakage requirements </w:t>
      </w:r>
      <w:r w:rsidR="00C207A8">
        <w:t xml:space="preserve">that </w:t>
      </w:r>
      <w:r w:rsidR="00517B0B">
        <w:t>are decided by RAN4.</w:t>
      </w:r>
    </w:p>
    <w:p w14:paraId="1F701E05" w14:textId="2C681A3C" w:rsidR="00CA3BFA" w:rsidRDefault="00CA3BFA" w:rsidP="00CA3BFA">
      <w:pPr>
        <w:pStyle w:val="Observation"/>
        <w:ind w:left="1710" w:hanging="1710"/>
      </w:pPr>
      <w:bookmarkStart w:id="14" w:name="_Toc16685192"/>
      <w:r>
        <w:lastRenderedPageBreak/>
        <w:t xml:space="preserve">Input from RAN4 is needed on the size of the intra-carrier </w:t>
      </w:r>
      <w:r w:rsidR="00C207A8">
        <w:t>guards</w:t>
      </w:r>
      <w:r>
        <w:t xml:space="preserve"> between LBT sub-bands </w:t>
      </w:r>
      <w:r w:rsidR="00DA2C67">
        <w:t xml:space="preserve">of a </w:t>
      </w:r>
      <w:r w:rsidR="000847D4">
        <w:t xml:space="preserve">downlink </w:t>
      </w:r>
      <w:r w:rsidR="00DA2C67">
        <w:t xml:space="preserve">wideband carrier </w:t>
      </w:r>
      <w:r>
        <w:t>in order to meet RAN4 specified in-</w:t>
      </w:r>
      <w:r w:rsidR="00DA2C67">
        <w:t>carrier</w:t>
      </w:r>
      <w:r>
        <w:t xml:space="preserve"> leakage requirements</w:t>
      </w:r>
      <w:r w:rsidR="00DA2C67">
        <w:t>.</w:t>
      </w:r>
      <w:bookmarkEnd w:id="14"/>
    </w:p>
    <w:p w14:paraId="005BC31D" w14:textId="7BB49DF1" w:rsidR="00CA3BFA" w:rsidRDefault="00CA3BFA" w:rsidP="00CA0922">
      <w:pPr>
        <w:pStyle w:val="BodyText"/>
      </w:pPr>
      <w:r>
        <w:t xml:space="preserve">With such input from RAN4, RAN1 specifications in fact can be transparent to LBT sub-bands. All that is needed by the gNB scheduler is to know which PRB ranges are available for PDSCH scheduling and which PRB ranges are unavailable due to the need for intra-carrier guards. Hence, our preference </w:t>
      </w:r>
      <w:r w:rsidR="00DA2C67">
        <w:t>is the following:</w:t>
      </w:r>
      <w:r>
        <w:t xml:space="preserve"> </w:t>
      </w:r>
    </w:p>
    <w:p w14:paraId="21E6C956" w14:textId="19D1D218" w:rsidR="00CA3BFA" w:rsidRDefault="00C171F6" w:rsidP="00CA3BFA">
      <w:pPr>
        <w:pStyle w:val="Proposal"/>
      </w:pPr>
      <w:bookmarkStart w:id="15" w:name="_Ref16258692"/>
      <w:bookmarkStart w:id="16" w:name="_Toc16685194"/>
      <w:r>
        <w:t>S</w:t>
      </w:r>
      <w:r w:rsidR="00CA3BFA">
        <w:t>trive for RAN1 specifications to be transparent to LBT sub-bands. To handle intra-carrier guards</w:t>
      </w:r>
      <w:r>
        <w:t xml:space="preserve"> for PDSCH scheduling</w:t>
      </w:r>
      <w:r w:rsidR="00CA3BFA">
        <w:t xml:space="preserve">, simply specify PRB ranges that are available for PDSCH scheduling and CORESET configuration. The </w:t>
      </w:r>
      <w:r w:rsidR="00DA2C67">
        <w:t xml:space="preserve">remaining </w:t>
      </w:r>
      <w:r w:rsidR="00CA3BFA">
        <w:t>PRBs unavailable for PDSCH scheduling corresponds to the</w:t>
      </w:r>
      <w:r w:rsidR="00DA2C67">
        <w:t xml:space="preserve"> intra-carrier</w:t>
      </w:r>
      <w:r w:rsidR="00CA3BFA">
        <w:t xml:space="preserve"> guard</w:t>
      </w:r>
      <w:r w:rsidR="00DA2C67">
        <w:t>s</w:t>
      </w:r>
      <w:r w:rsidR="00CA3BFA">
        <w:t>.</w:t>
      </w:r>
      <w:bookmarkEnd w:id="15"/>
      <w:bookmarkEnd w:id="16"/>
    </w:p>
    <w:p w14:paraId="00E16266" w14:textId="7C4C8980" w:rsidR="00CA615A" w:rsidRDefault="00CA615A" w:rsidP="004A3521">
      <w:pPr>
        <w:pStyle w:val="Heading2"/>
      </w:pPr>
      <w:r>
        <w:t>3.2</w:t>
      </w:r>
      <w:r>
        <w:tab/>
        <w:t>PDCCH Configuration</w:t>
      </w:r>
    </w:p>
    <w:p w14:paraId="61889CD3" w14:textId="04F3A67F" w:rsidR="00CA615A" w:rsidRDefault="00CA615A" w:rsidP="00CA615A">
      <w:pPr>
        <w:pStyle w:val="BodyText"/>
      </w:pPr>
      <w:r>
        <w:t>Our preference for a way forward for wideband operation in the downlink</w:t>
      </w:r>
      <w:r w:rsidR="00C207A8">
        <w:t xml:space="preserve"> (</w:t>
      </w:r>
      <w:r>
        <w:t>provided that the spectral emission mask issues can be resolved</w:t>
      </w:r>
      <w:r w:rsidR="00C207A8">
        <w:t>)</w:t>
      </w:r>
      <w:r>
        <w:t xml:space="preserve"> is to rely as much as possible on existing Rel-15 functionality. Already, the conclusion mentioned above for PDSCH transmission is one step in achieving this, provided that the UE </w:t>
      </w:r>
      <w:proofErr w:type="gramStart"/>
      <w:r>
        <w:t>is capable of receiving</w:t>
      </w:r>
      <w:proofErr w:type="gramEnd"/>
      <w:r>
        <w:t xml:space="preserve"> multiple simultaneous PDSCHs. The other step in achieving this is to reuse existing Rel-15 functionality when it comes to PDCCH configuration. In our view, the simplest way forward is to configure CORESETs on a per-</w:t>
      </w:r>
      <w:proofErr w:type="spellStart"/>
      <w:r>
        <w:t>subband</w:t>
      </w:r>
      <w:proofErr w:type="spellEnd"/>
      <w:r>
        <w:t xml:space="preserve"> basis. We understand that the number of CORESETs supported by a UE would need to increase (the Rel-15 limit is 3); however, this seems like the simplest way forward compared to other approaches where a CORESET spans multiple sub-bands, potentially requiring changes to PDCCH candidate configuration. Hence, we propose</w:t>
      </w:r>
    </w:p>
    <w:p w14:paraId="50F52637" w14:textId="03150148" w:rsidR="00CA615A" w:rsidRDefault="00CA615A" w:rsidP="00CA615A">
      <w:pPr>
        <w:pStyle w:val="Proposal"/>
      </w:pPr>
      <w:bookmarkStart w:id="17" w:name="_Toc16685195"/>
      <w:r>
        <w:t>For a wideband carrier consisting of multiple LBT sub-bands, support configuration</w:t>
      </w:r>
      <w:r w:rsidR="00042686">
        <w:t xml:space="preserve"> </w:t>
      </w:r>
      <w:r w:rsidR="00C207A8">
        <w:t xml:space="preserve">of </w:t>
      </w:r>
      <w:r>
        <w:t>CORESET</w:t>
      </w:r>
      <w:r w:rsidR="00C207A8">
        <w:t>(s)</w:t>
      </w:r>
      <w:r>
        <w:t xml:space="preserve"> </w:t>
      </w:r>
      <w:r w:rsidR="00C207A8">
        <w:t>that are confined within an LBT sub-band</w:t>
      </w:r>
      <w:r w:rsidR="00042686">
        <w:t>.</w:t>
      </w:r>
      <w:r w:rsidR="00C207A8">
        <w:t xml:space="preserve"> The maximum number of CORESETs configured to a UE may need to be increased beyond the Rel-15 limit of 3.</w:t>
      </w:r>
      <w:bookmarkEnd w:id="17"/>
    </w:p>
    <w:p w14:paraId="73A82575" w14:textId="1C1F9572" w:rsidR="00DA2C67" w:rsidRDefault="00DA2C67" w:rsidP="004A3521">
      <w:pPr>
        <w:pStyle w:val="Heading2"/>
      </w:pPr>
      <w:r>
        <w:t>3.</w:t>
      </w:r>
      <w:r w:rsidR="00CA615A">
        <w:t>3</w:t>
      </w:r>
      <w:r>
        <w:tab/>
        <w:t>Channel Raster</w:t>
      </w:r>
      <w:r w:rsidR="001C1781">
        <w:t xml:space="preserve"> and </w:t>
      </w:r>
      <w:proofErr w:type="spellStart"/>
      <w:r w:rsidR="001C1781">
        <w:t>Guardbands</w:t>
      </w:r>
      <w:proofErr w:type="spellEnd"/>
    </w:p>
    <w:p w14:paraId="5078CBA9" w14:textId="2E2AD64E" w:rsidR="00CA615A" w:rsidRDefault="00CA615A" w:rsidP="00CA615A">
      <w:pPr>
        <w:pStyle w:val="BodyText"/>
      </w:pPr>
      <w:r>
        <w:t>To enable both WB1 and WB2 operation</w:t>
      </w:r>
      <w:r w:rsidR="006C4869">
        <w:t>s</w:t>
      </w:r>
      <w:r w:rsidR="008D654B">
        <w:t xml:space="preserve"> to be specified in a unified way</w:t>
      </w:r>
      <w:r>
        <w:t xml:space="preserve"> with a common set of requirements, it is needed to properly design the channel raster points for 20, 40, and 80 MHz carriers</w:t>
      </w:r>
      <w:r w:rsidR="008D654B">
        <w:t xml:space="preserve">. The design should ensure that </w:t>
      </w:r>
      <w:r>
        <w:t xml:space="preserve">regardless of which carrier bandwidth </w:t>
      </w:r>
      <w:proofErr w:type="spellStart"/>
      <w:r>
        <w:t>gNBs</w:t>
      </w:r>
      <w:proofErr w:type="spellEnd"/>
      <w:r>
        <w:t xml:space="preserve"> decide to configure, adjacent channel interference amongst LBT-</w:t>
      </w:r>
      <w:proofErr w:type="spellStart"/>
      <w:r>
        <w:t>subbands</w:t>
      </w:r>
      <w:proofErr w:type="spellEnd"/>
      <w:r>
        <w:t xml:space="preserve"> and/or carriers is properly controlled. As shown in </w:t>
      </w:r>
      <w:r w:rsidR="008D654B">
        <w:t>this</w:t>
      </w:r>
      <w:r>
        <w:t xml:space="preserve"> section, the channel raster can be designed such that the intra-carrier guards of a </w:t>
      </w:r>
      <w:r w:rsidR="008D654B">
        <w:t>wide</w:t>
      </w:r>
      <w:r>
        <w:t xml:space="preserve"> carrier</w:t>
      </w:r>
      <w:r w:rsidR="008D654B">
        <w:t xml:space="preserve"> (e.g., 80 MHz)</w:t>
      </w:r>
      <w:r>
        <w:t xml:space="preserve"> fully overlap both the intra- and inter-carrier guards of narrow</w:t>
      </w:r>
      <w:r w:rsidR="008D654B">
        <w:t>er</w:t>
      </w:r>
      <w:r>
        <w:t xml:space="preserve"> carriers</w:t>
      </w:r>
      <w:r w:rsidR="008D654B">
        <w:t xml:space="preserve"> (e.g., 40 and 20 MHz)</w:t>
      </w:r>
      <w:r>
        <w:t xml:space="preserve">. </w:t>
      </w:r>
      <w:r w:rsidR="008D654B">
        <w:t xml:space="preserve">We note that the </w:t>
      </w:r>
      <w:r>
        <w:t xml:space="preserve">intra-carrier guards can easily be designed to be an integer number of PRBs, while the inter-carrier </w:t>
      </w:r>
      <w:proofErr w:type="spellStart"/>
      <w:r>
        <w:t>guard</w:t>
      </w:r>
      <w:r w:rsidR="008D654B">
        <w:t>bands</w:t>
      </w:r>
      <w:proofErr w:type="spellEnd"/>
      <w:r>
        <w:t xml:space="preserve"> need only be an integer number of sub-carriers to </w:t>
      </w:r>
      <w:r w:rsidR="008D654B">
        <w:t>facilitate</w:t>
      </w:r>
      <w:r>
        <w:t xml:space="preserve"> single-FFT operation if </w:t>
      </w:r>
      <w:r w:rsidR="00042686">
        <w:t>desired</w:t>
      </w:r>
      <w:r>
        <w:t>.</w:t>
      </w:r>
      <w:r w:rsidR="008D654B">
        <w:t xml:space="preserve"> The minimum bandwidth of the inter-carrier guards already defined in RAN4 in Rel-15 (see Table 5.3.3-1 in 38.104) may be reused.</w:t>
      </w:r>
    </w:p>
    <w:p w14:paraId="39725B9C" w14:textId="025C17A5" w:rsidR="00ED0128" w:rsidRDefault="008D654B" w:rsidP="00CA0922">
      <w:pPr>
        <w:pStyle w:val="BodyText"/>
      </w:pPr>
      <w:r>
        <w:t>The full d</w:t>
      </w:r>
      <w:r w:rsidR="000847D4">
        <w:t xml:space="preserve">etails of </w:t>
      </w:r>
      <w:r w:rsidR="00876916">
        <w:t>a</w:t>
      </w:r>
      <w:r w:rsidR="000847D4">
        <w:t xml:space="preserve"> proposed channel raster design are contained in our RAN4 contribution</w:t>
      </w:r>
      <w:r w:rsidR="001F1766">
        <w:t xml:space="preserve"> </w:t>
      </w:r>
      <w:r w:rsidR="001F1766">
        <w:fldChar w:fldCharType="begin"/>
      </w:r>
      <w:r w:rsidR="001F1766">
        <w:instrText xml:space="preserve"> REF _Ref16178041 \r \h </w:instrText>
      </w:r>
      <w:r w:rsidR="001F1766">
        <w:fldChar w:fldCharType="separate"/>
      </w:r>
      <w:r w:rsidR="00C355A4">
        <w:t>[14]</w:t>
      </w:r>
      <w:r w:rsidR="001F1766">
        <w:fldChar w:fldCharType="end"/>
      </w:r>
      <w:r w:rsidR="000847D4">
        <w:t xml:space="preserve">. Here we provide a </w:t>
      </w:r>
      <w:proofErr w:type="gramStart"/>
      <w:r w:rsidR="000847D4">
        <w:t>high level</w:t>
      </w:r>
      <w:proofErr w:type="gramEnd"/>
      <w:r w:rsidR="000847D4">
        <w:t xml:space="preserve"> overview</w:t>
      </w:r>
      <w:r>
        <w:t xml:space="preserve"> and further discuss intra-carrier guards</w:t>
      </w:r>
      <w:r w:rsidR="000847D4">
        <w:t>.</w:t>
      </w:r>
    </w:p>
    <w:p w14:paraId="42F54E3F" w14:textId="71BB187B" w:rsidR="00ED0128" w:rsidRPr="00183C9B" w:rsidRDefault="00183C9B" w:rsidP="00CA0922">
      <w:pPr>
        <w:pStyle w:val="BodyText"/>
        <w:rPr>
          <w:b/>
          <w:u w:val="single"/>
        </w:rPr>
      </w:pPr>
      <w:r w:rsidRPr="00183C9B">
        <w:rPr>
          <w:b/>
          <w:u w:val="single"/>
        </w:rPr>
        <w:t>Channel raster and guard bands</w:t>
      </w:r>
      <w:r w:rsidR="00166607">
        <w:rPr>
          <w:b/>
          <w:u w:val="single"/>
        </w:rPr>
        <w:t xml:space="preserve"> between channels</w:t>
      </w:r>
    </w:p>
    <w:p w14:paraId="27A7505F" w14:textId="7B7BD74F" w:rsidR="0067702C" w:rsidRDefault="00CB45F7" w:rsidP="00CA0922">
      <w:pPr>
        <w:pStyle w:val="BodyText"/>
      </w:pPr>
      <w:r>
        <w:fldChar w:fldCharType="begin"/>
      </w:r>
      <w:r>
        <w:instrText xml:space="preserve"> REF _Ref16251733 \h </w:instrText>
      </w:r>
      <w:r>
        <w:fldChar w:fldCharType="separate"/>
      </w:r>
      <w:r w:rsidR="00C355A4">
        <w:t xml:space="preserve">Figure </w:t>
      </w:r>
      <w:r w:rsidR="00C355A4">
        <w:rPr>
          <w:noProof/>
        </w:rPr>
        <w:t>2</w:t>
      </w:r>
      <w:r>
        <w:fldChar w:fldCharType="end"/>
      </w:r>
      <w:r>
        <w:t xml:space="preserve"> shows the center frequencies of NR-U 20/40/80 MHz carriers </w:t>
      </w:r>
      <w:r w:rsidR="00307DC8">
        <w:t>are aligned with</w:t>
      </w:r>
      <w:r>
        <w:t xml:space="preserve"> the </w:t>
      </w:r>
      <w:proofErr w:type="spellStart"/>
      <w:r>
        <w:t>WiFi</w:t>
      </w:r>
      <w:proofErr w:type="spellEnd"/>
      <w:r>
        <w:t xml:space="preserve"> channel </w:t>
      </w:r>
      <w:r w:rsidR="004627DE">
        <w:t xml:space="preserve">placements and </w:t>
      </w:r>
      <w:r>
        <w:t>bonding rules</w:t>
      </w:r>
      <w:r w:rsidR="001C1781">
        <w:t xml:space="preserve"> </w:t>
      </w:r>
      <w:r w:rsidR="008E07A7">
        <w:t xml:space="preserve">as much as possible with the constraint of </w:t>
      </w:r>
      <w:r w:rsidR="001C1781">
        <w:t>30 kHz SCS</w:t>
      </w:r>
      <w:r w:rsidR="00DE39E6">
        <w:t>. In this diagram</w:t>
      </w:r>
      <w:r w:rsidR="0067702C">
        <w:t xml:space="preserve"> the first eight 20 MHz channels used by </w:t>
      </w:r>
      <w:proofErr w:type="spellStart"/>
      <w:r w:rsidR="0067702C">
        <w:t>WiFi</w:t>
      </w:r>
      <w:proofErr w:type="spellEnd"/>
      <w:r w:rsidR="0067702C">
        <w:t xml:space="preserve"> in the 5 GHz band are illustrated</w:t>
      </w:r>
      <w:r>
        <w:t>.</w:t>
      </w:r>
    </w:p>
    <w:p w14:paraId="03678613" w14:textId="74B76E77" w:rsidR="00FE7E58" w:rsidRDefault="00CB45F7" w:rsidP="00CA0922">
      <w:pPr>
        <w:pStyle w:val="BodyText"/>
      </w:pPr>
      <w:r>
        <w:lastRenderedPageBreak/>
        <w:t xml:space="preserve">The center frequencies are calculated by rounding the 20/40/80 MHz </w:t>
      </w:r>
      <w:proofErr w:type="spellStart"/>
      <w:r>
        <w:t>WiFi</w:t>
      </w:r>
      <w:proofErr w:type="spellEnd"/>
      <w:r>
        <w:t xml:space="preserve"> channel center frequencies to the nearest </w:t>
      </w:r>
      <w:r w:rsidRPr="00CB45F7">
        <w:rPr>
          <w:i/>
        </w:rPr>
        <w:t>even</w:t>
      </w:r>
      <w:r>
        <w:t xml:space="preserve"> N</w:t>
      </w:r>
      <w:r w:rsidRPr="00763ED4">
        <w:rPr>
          <w:vertAlign w:val="subscript"/>
        </w:rPr>
        <w:t>REF</w:t>
      </w:r>
      <w:r>
        <w:t xml:space="preserve"> value (NR-ARFCN value) on the NR global channel frequency raster which has granularity </w:t>
      </w:r>
      <w:proofErr w:type="spellStart"/>
      <w:r>
        <w:rPr>
          <w:rFonts w:cs="Arial"/>
        </w:rPr>
        <w:t>Δ</w:t>
      </w:r>
      <w:r>
        <w:t>F</w:t>
      </w:r>
      <w:r w:rsidRPr="00AC6CA9">
        <w:rPr>
          <w:vertAlign w:val="subscript"/>
        </w:rPr>
        <w:t>Global</w:t>
      </w:r>
      <w:proofErr w:type="spellEnd"/>
      <w:r>
        <w:t xml:space="preserve"> = </w:t>
      </w:r>
      <w:r w:rsidRPr="00F87A20">
        <w:t>15kHz</w:t>
      </w:r>
      <w:r>
        <w:t xml:space="preserve"> (see Table 5.4.2.1-1 in 38.104). This results in </w:t>
      </w:r>
      <w:r w:rsidR="00DE39E6">
        <w:t>all NR-U channel center frequencies</w:t>
      </w:r>
      <w:r>
        <w:t xml:space="preserve"> being within </w:t>
      </w:r>
      <w:r>
        <w:rPr>
          <w:rFonts w:cs="Arial"/>
        </w:rPr>
        <w:t>±</w:t>
      </w:r>
      <w:r>
        <w:t xml:space="preserve">10 kHz of the </w:t>
      </w:r>
      <w:proofErr w:type="spellStart"/>
      <w:r>
        <w:t>WiFi</w:t>
      </w:r>
      <w:proofErr w:type="spellEnd"/>
      <w:r>
        <w:t xml:space="preserve"> channel center frequencies. </w:t>
      </w:r>
      <w:r w:rsidR="001C1781">
        <w:t>Note that r</w:t>
      </w:r>
      <w:r>
        <w:t xml:space="preserve">ounding to the nearest </w:t>
      </w:r>
      <w:r w:rsidRPr="00DE39E6">
        <w:rPr>
          <w:i/>
        </w:rPr>
        <w:t>even</w:t>
      </w:r>
      <w:r>
        <w:t xml:space="preserve"> ARFCN value </w:t>
      </w:r>
      <w:r w:rsidR="00DE39E6">
        <w:t xml:space="preserve">for 30 kHz SCS </w:t>
      </w:r>
      <w:r>
        <w:t xml:space="preserve">ensures that the </w:t>
      </w:r>
      <w:r w:rsidR="00DE39E6">
        <w:t xml:space="preserve">inter-carrier </w:t>
      </w:r>
      <w:r>
        <w:t xml:space="preserve">guard-bands </w:t>
      </w:r>
      <w:r w:rsidR="00DE39E6">
        <w:t>are an integer number of subcarriers which benefits single FFT implementations</w:t>
      </w:r>
      <w:r>
        <w:t xml:space="preserve">. </w:t>
      </w:r>
      <w:r w:rsidR="0067702C">
        <w:t xml:space="preserve">For 15 kHz SCS, rounding </w:t>
      </w:r>
      <w:r w:rsidR="001C1781">
        <w:t xml:space="preserve">can be </w:t>
      </w:r>
      <w:r w:rsidR="0067702C">
        <w:t xml:space="preserve">to the nearest ARFCN (even or odd) </w:t>
      </w:r>
      <w:r w:rsidR="001C1781">
        <w:t xml:space="preserve">which </w:t>
      </w:r>
      <w:r w:rsidR="0067702C">
        <w:t xml:space="preserve">achieves this </w:t>
      </w:r>
      <w:r w:rsidR="001C1781">
        <w:t xml:space="preserve">same </w:t>
      </w:r>
      <w:r w:rsidR="0067702C">
        <w:t>property since the NR global channel raster has 15 kHz granularity.</w:t>
      </w:r>
    </w:p>
    <w:p w14:paraId="0B242616" w14:textId="7D82AD3C" w:rsidR="0037078A" w:rsidRDefault="00FE7E58" w:rsidP="00CA0922">
      <w:pPr>
        <w:pStyle w:val="BodyText"/>
      </w:pPr>
      <w:r>
        <w:t xml:space="preserve">With this channel raster, it is easy to show that the total inter-carrier guards between the 20 MHz carriers is either 54 or 55 subcarriers depending on the carrier position. For the 40 MHz carriers, the inter-carrier guards are either 61 or 62 subcarriers, and for the 80 MHz carriers the inter-carrier guards are either 62 or 63 subcarriers. In all cases, these values result in left and right </w:t>
      </w:r>
      <w:proofErr w:type="spellStart"/>
      <w:r>
        <w:t>guardbands</w:t>
      </w:r>
      <w:proofErr w:type="spellEnd"/>
      <w:r>
        <w:t xml:space="preserve"> around each individual carrier that satisfy the minimum bandwidth requirements specified in Table 5.3.3-1 in 38.104, i.e., 805/905/925 kHz for 20/40/80 MHz carriers, respectively.</w:t>
      </w:r>
    </w:p>
    <w:p w14:paraId="055A0E33" w14:textId="77777777" w:rsidR="002C5771" w:rsidRDefault="002C5771" w:rsidP="00CA0922">
      <w:pPr>
        <w:pStyle w:val="BodyText"/>
      </w:pPr>
    </w:p>
    <w:p w14:paraId="1228D7BD" w14:textId="43FE98D2" w:rsidR="002C5771" w:rsidRDefault="00DE39E6" w:rsidP="00593A40">
      <w:pPr>
        <w:pStyle w:val="BodyText"/>
        <w:keepNext/>
        <w:spacing w:after="0"/>
        <w:ind w:left="-720"/>
        <w:jc w:val="center"/>
      </w:pPr>
      <w:r>
        <w:rPr>
          <w:noProof/>
        </w:rPr>
        <w:drawing>
          <wp:inline distT="0" distB="0" distL="0" distR="0" wp14:anchorId="51F75BEE" wp14:editId="67A8C903">
            <wp:extent cx="6858000" cy="20391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0" cy="2039112"/>
                    </a:xfrm>
                    <a:prstGeom prst="rect">
                      <a:avLst/>
                    </a:prstGeom>
                    <a:noFill/>
                  </pic:spPr>
                </pic:pic>
              </a:graphicData>
            </a:graphic>
          </wp:inline>
        </w:drawing>
      </w:r>
    </w:p>
    <w:p w14:paraId="2DDB940F" w14:textId="6E7451B4" w:rsidR="002C5771" w:rsidRDefault="002C5771" w:rsidP="002C5771">
      <w:pPr>
        <w:pStyle w:val="Caption"/>
        <w:jc w:val="center"/>
      </w:pPr>
      <w:bookmarkStart w:id="18" w:name="_Ref16251733"/>
      <w:r>
        <w:t xml:space="preserve">Figure </w:t>
      </w:r>
      <w:r w:rsidR="000A42E5">
        <w:rPr>
          <w:noProof/>
        </w:rPr>
        <w:fldChar w:fldCharType="begin"/>
      </w:r>
      <w:r w:rsidR="000A42E5">
        <w:rPr>
          <w:noProof/>
        </w:rPr>
        <w:instrText xml:space="preserve"> SEQ Figure \* ARABIC </w:instrText>
      </w:r>
      <w:r w:rsidR="000A42E5">
        <w:rPr>
          <w:noProof/>
        </w:rPr>
        <w:fldChar w:fldCharType="separate"/>
      </w:r>
      <w:r w:rsidR="00C355A4">
        <w:rPr>
          <w:noProof/>
        </w:rPr>
        <w:t>2</w:t>
      </w:r>
      <w:r w:rsidR="000A42E5">
        <w:rPr>
          <w:noProof/>
        </w:rPr>
        <w:fldChar w:fldCharType="end"/>
      </w:r>
      <w:bookmarkEnd w:id="18"/>
      <w:r>
        <w:t xml:space="preserve">: Center frequencies for NR-U 20/40/80 MHz carriers assuming 30 kHz SCS. The center frequencies are aligned with the NR global frequency raster (15 kHz granularity) for the 5 GHz band. The channel center frequencies are within </w:t>
      </w:r>
      <w:r>
        <w:rPr>
          <w:rFonts w:cstheme="minorHAnsi"/>
        </w:rPr>
        <w:t>±</w:t>
      </w:r>
      <w:r>
        <w:t xml:space="preserve">10 kHz of the </w:t>
      </w:r>
      <w:proofErr w:type="spellStart"/>
      <w:r>
        <w:t>WiFi</w:t>
      </w:r>
      <w:proofErr w:type="spellEnd"/>
      <w:r>
        <w:t xml:space="preserve"> channel grid (20 MHz granularity).</w:t>
      </w:r>
      <w:r w:rsidR="0067702C">
        <w:t xml:space="preserve"> The </w:t>
      </w:r>
      <w:proofErr w:type="spellStart"/>
      <w:r w:rsidR="0067702C">
        <w:t>guardbands</w:t>
      </w:r>
      <w:proofErr w:type="spellEnd"/>
      <w:r w:rsidR="0067702C">
        <w:t xml:space="preserve"> between all carriers satisfy the minimum requirements in 38.104.</w:t>
      </w:r>
    </w:p>
    <w:p w14:paraId="4151142E" w14:textId="77777777" w:rsidR="00183C9B" w:rsidRDefault="00183C9B" w:rsidP="00CA0922">
      <w:pPr>
        <w:pStyle w:val="BodyText"/>
      </w:pPr>
    </w:p>
    <w:p w14:paraId="72441E63" w14:textId="24FCA75B" w:rsidR="00166607" w:rsidRPr="0093564E" w:rsidRDefault="00166607" w:rsidP="00CA0922">
      <w:pPr>
        <w:pStyle w:val="BodyText"/>
        <w:rPr>
          <w:b/>
          <w:u w:val="single"/>
        </w:rPr>
      </w:pPr>
      <w:r w:rsidRPr="0093564E">
        <w:rPr>
          <w:b/>
          <w:u w:val="single"/>
        </w:rPr>
        <w:t xml:space="preserve">Guard bands within </w:t>
      </w:r>
      <w:r w:rsidR="0093564E" w:rsidRPr="0093564E">
        <w:rPr>
          <w:b/>
          <w:u w:val="single"/>
        </w:rPr>
        <w:t>a wideband channel</w:t>
      </w:r>
    </w:p>
    <w:p w14:paraId="2434D1F3" w14:textId="478B2D2E" w:rsidR="001C1781" w:rsidRDefault="00FE7E58" w:rsidP="00CA0922">
      <w:pPr>
        <w:pStyle w:val="BodyText"/>
      </w:pPr>
      <w:r>
        <w:t xml:space="preserve">As discussed previously, RAN4 has indicated that wideband operation with 40 and 80 MHz carriers with channel puncturing is feasible if the intra-carrier guards between </w:t>
      </w:r>
      <w:r w:rsidR="00AE62DF">
        <w:t>LBT sub-bands of such wide carriers are not scheduled.</w:t>
      </w:r>
      <w:r w:rsidR="001C1781" w:rsidRPr="001C1781">
        <w:t xml:space="preserve"> </w:t>
      </w:r>
      <w:r w:rsidR="001C1781">
        <w:t>To facilitate this, the intra-carrier guards should be an integer number of PRBs such that scheduling which operates on PRB-level granularity can avoid the guards.</w:t>
      </w:r>
    </w:p>
    <w:p w14:paraId="0C00C353" w14:textId="20ACB53A" w:rsidR="00AE62DF" w:rsidRDefault="00AE62DF" w:rsidP="00CA0922">
      <w:pPr>
        <w:pStyle w:val="BodyText"/>
      </w:pPr>
      <w:r>
        <w:t xml:space="preserve">As also discussed above, it is important that the intra-carrier guards of a wide carrier, completely overlap the intra-carrier guard and inter-carrier guards of </w:t>
      </w:r>
      <w:r w:rsidR="001C1781">
        <w:t xml:space="preserve">all </w:t>
      </w:r>
      <w:r>
        <w:t>narrow</w:t>
      </w:r>
      <w:r w:rsidR="001C1781">
        <w:t>er</w:t>
      </w:r>
      <w:r>
        <w:t xml:space="preserve"> carriers.</w:t>
      </w:r>
      <w:r w:rsidR="001D7431" w:rsidRPr="001D7431">
        <w:t xml:space="preserve"> </w:t>
      </w:r>
      <w:r w:rsidR="001D7431">
        <w:t xml:space="preserve">With this principle, adjacent channel interference can be controlled between, for example, </w:t>
      </w:r>
      <w:proofErr w:type="spellStart"/>
      <w:r w:rsidR="001D7431">
        <w:t>gNBs</w:t>
      </w:r>
      <w:proofErr w:type="spellEnd"/>
      <w:r w:rsidR="001D7431">
        <w:t xml:space="preserve"> that deploy 80 MHz carrier(s) with channel puncturing and </w:t>
      </w:r>
      <w:proofErr w:type="spellStart"/>
      <w:r w:rsidR="001D7431">
        <w:t>gNBs</w:t>
      </w:r>
      <w:proofErr w:type="spellEnd"/>
      <w:r w:rsidR="001D7431">
        <w:t xml:space="preserve"> that deploy aggregation of 20 MHz carriers not relying on channel puncturing. </w:t>
      </w:r>
    </w:p>
    <w:p w14:paraId="47359727" w14:textId="3885953C" w:rsidR="00372F7E" w:rsidRDefault="004572DE" w:rsidP="00CA0922">
      <w:pPr>
        <w:pStyle w:val="BodyText"/>
        <w:rPr>
          <w:rFonts w:eastAsiaTheme="minorEastAsia"/>
        </w:rPr>
      </w:pPr>
      <w:r>
        <w:fldChar w:fldCharType="begin"/>
      </w:r>
      <w:r>
        <w:instrText xml:space="preserve"> REF _Ref16255659 \h </w:instrText>
      </w:r>
      <w:r>
        <w:fldChar w:fldCharType="separate"/>
      </w:r>
      <w:r w:rsidR="00C355A4">
        <w:t xml:space="preserve">Figure </w:t>
      </w:r>
      <w:r w:rsidR="00C355A4">
        <w:rPr>
          <w:noProof/>
        </w:rPr>
        <w:t>3</w:t>
      </w:r>
      <w:r>
        <w:fldChar w:fldCharType="end"/>
      </w:r>
      <w:r w:rsidR="00AE62DF">
        <w:t xml:space="preserve"> (drawn to scale) shows the position and minimum size of the intra-carrier guards </w:t>
      </w:r>
      <w:r w:rsidR="001D7431">
        <w:t xml:space="preserve">for 40 and 80 MHz </w:t>
      </w:r>
      <w:r w:rsidR="00AE62DF">
        <w:t xml:space="preserve">that achieve the important overlap property. </w:t>
      </w:r>
      <w:r w:rsidR="00A53C7C">
        <w:t>For a</w:t>
      </w:r>
      <w:r w:rsidR="007656E2">
        <w:t>n intra-carrier guard</w:t>
      </w:r>
      <w:r w:rsidR="008B1B3E">
        <w:t xml:space="preserve"> that overlaps with </w:t>
      </w:r>
      <w:r w:rsidR="00765F2F">
        <w:t>an inter-carrier guard</w:t>
      </w:r>
      <w:r w:rsidR="0008764C">
        <w:t xml:space="preserve"> </w:t>
      </w:r>
      <w:r w:rsidR="00A9339D">
        <w:t xml:space="preserve">between two 20 MHz carriers, </w:t>
      </w:r>
      <w:r w:rsidR="002060F0">
        <w:t xml:space="preserve">the minimum </w:t>
      </w:r>
      <w:r w:rsidR="005A37C7">
        <w:t xml:space="preserve">number of PRB for the intra-carrier guard is </w:t>
      </w:r>
      <m:oMath>
        <m:d>
          <m:dPr>
            <m:begChr m:val="⌈"/>
            <m:endChr m:val="⌉"/>
            <m:ctrlPr>
              <w:rPr>
                <w:rFonts w:ascii="Cambria Math" w:hAnsi="Cambria Math"/>
                <w:i/>
              </w:rPr>
            </m:ctrlPr>
          </m:dPr>
          <m:e>
            <m:r>
              <w:rPr>
                <w:rFonts w:ascii="Cambria Math" w:hAnsi="Cambria Math"/>
              </w:rPr>
              <m:t>55/12</m:t>
            </m:r>
          </m:e>
        </m:d>
        <m:r>
          <w:rPr>
            <w:rFonts w:ascii="Cambria Math" w:hAnsi="Cambria Math"/>
          </w:rPr>
          <m:t>=6</m:t>
        </m:r>
      </m:oMath>
      <w:r w:rsidR="00213244">
        <w:rPr>
          <w:rFonts w:eastAsiaTheme="minorEastAsia"/>
        </w:rPr>
        <w:t xml:space="preserve">. </w:t>
      </w:r>
      <w:r w:rsidR="00213244">
        <w:t xml:space="preserve">For an intra-carrier guard that overlaps with an inter-carrier guard between two 40 MHz carriers, the minimum number of PRB for the intra-carrier guard is </w:t>
      </w:r>
      <m:oMath>
        <m:d>
          <m:dPr>
            <m:begChr m:val="⌈"/>
            <m:endChr m:val="⌉"/>
            <m:ctrlPr>
              <w:rPr>
                <w:rFonts w:ascii="Cambria Math" w:hAnsi="Cambria Math"/>
                <w:i/>
              </w:rPr>
            </m:ctrlPr>
          </m:dPr>
          <m:e>
            <m:r>
              <w:rPr>
                <w:rFonts w:ascii="Cambria Math" w:hAnsi="Cambria Math"/>
              </w:rPr>
              <m:t>62/12</m:t>
            </m:r>
          </m:e>
        </m:d>
        <m:r>
          <w:rPr>
            <w:rFonts w:ascii="Cambria Math" w:hAnsi="Cambria Math"/>
          </w:rPr>
          <m:t>=7</m:t>
        </m:r>
      </m:oMath>
      <w:r w:rsidR="00213244">
        <w:rPr>
          <w:rFonts w:eastAsiaTheme="minorEastAsia"/>
        </w:rPr>
        <w:t>.</w:t>
      </w:r>
      <w:r w:rsidR="002C27AA">
        <w:rPr>
          <w:rFonts w:eastAsiaTheme="minorEastAsia"/>
        </w:rPr>
        <w:t xml:space="preserve"> </w:t>
      </w:r>
    </w:p>
    <w:p w14:paraId="34C30D18" w14:textId="58E009C1" w:rsidR="00AE62DF" w:rsidRDefault="00AE62DF" w:rsidP="00CA0922">
      <w:pPr>
        <w:pStyle w:val="BodyText"/>
      </w:pPr>
      <w:r>
        <w:lastRenderedPageBreak/>
        <w:t xml:space="preserve">We emphasize that these are </w:t>
      </w:r>
      <w:r w:rsidRPr="00AE62DF">
        <w:rPr>
          <w:i/>
        </w:rPr>
        <w:t>minimum</w:t>
      </w:r>
      <w:r>
        <w:t xml:space="preserve"> </w:t>
      </w:r>
      <w:proofErr w:type="gramStart"/>
      <w:r>
        <w:t>values</w:t>
      </w:r>
      <w:r w:rsidR="009B6E7A">
        <w:t xml:space="preserve"> </w:t>
      </w:r>
      <w:r>
        <w:t>.</w:t>
      </w:r>
      <w:proofErr w:type="gramEnd"/>
      <w:r>
        <w:t xml:space="preserve"> RAN4 still requires further work to establish precisely what size guard</w:t>
      </w:r>
      <w:r w:rsidR="0075436C">
        <w:t xml:space="preserve"> </w:t>
      </w:r>
      <w:r>
        <w:t>bands are needed to satisfy requirements on specified levels of in-carrier leakage given that ETSI-BRAN and RAN4 can agree on an appropriate spectral emission mask to apply to the sub-bands.</w:t>
      </w:r>
    </w:p>
    <w:p w14:paraId="175F7404" w14:textId="77777777" w:rsidR="001D7431" w:rsidRDefault="001D7431" w:rsidP="00CA0922">
      <w:pPr>
        <w:pStyle w:val="BodyText"/>
      </w:pPr>
    </w:p>
    <w:p w14:paraId="0715F398" w14:textId="7CC48EC2" w:rsidR="004572DE" w:rsidRDefault="001D7431" w:rsidP="00593A40">
      <w:pPr>
        <w:pStyle w:val="BodyText"/>
        <w:keepNext/>
        <w:spacing w:after="0"/>
        <w:ind w:left="-720"/>
        <w:jc w:val="center"/>
      </w:pPr>
      <w:r>
        <w:rPr>
          <w:noProof/>
        </w:rPr>
        <w:drawing>
          <wp:inline distT="0" distB="0" distL="0" distR="0" wp14:anchorId="18CA41B7" wp14:editId="3BC0DE58">
            <wp:extent cx="6858000" cy="31089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0" cy="3108960"/>
                    </a:xfrm>
                    <a:prstGeom prst="rect">
                      <a:avLst/>
                    </a:prstGeom>
                    <a:noFill/>
                  </pic:spPr>
                </pic:pic>
              </a:graphicData>
            </a:graphic>
          </wp:inline>
        </w:drawing>
      </w:r>
    </w:p>
    <w:p w14:paraId="28172384" w14:textId="19224DAE" w:rsidR="00AE62DF" w:rsidRDefault="004572DE" w:rsidP="004572DE">
      <w:pPr>
        <w:pStyle w:val="Caption"/>
        <w:jc w:val="center"/>
      </w:pPr>
      <w:bookmarkStart w:id="19" w:name="_Ref16255659"/>
      <w:r>
        <w:t xml:space="preserve">Figure </w:t>
      </w:r>
      <w:r w:rsidR="000A42E5">
        <w:rPr>
          <w:noProof/>
        </w:rPr>
        <w:fldChar w:fldCharType="begin"/>
      </w:r>
      <w:r w:rsidR="000A42E5">
        <w:rPr>
          <w:noProof/>
        </w:rPr>
        <w:instrText xml:space="preserve"> SEQ Figure \* ARABIC </w:instrText>
      </w:r>
      <w:r w:rsidR="000A42E5">
        <w:rPr>
          <w:noProof/>
        </w:rPr>
        <w:fldChar w:fldCharType="separate"/>
      </w:r>
      <w:r w:rsidR="00C355A4">
        <w:rPr>
          <w:noProof/>
        </w:rPr>
        <w:t>3</w:t>
      </w:r>
      <w:r w:rsidR="000A42E5">
        <w:rPr>
          <w:noProof/>
        </w:rPr>
        <w:fldChar w:fldCharType="end"/>
      </w:r>
      <w:bookmarkEnd w:id="19"/>
      <w:r>
        <w:t xml:space="preserve">: </w:t>
      </w:r>
      <w:r w:rsidR="001D7431">
        <w:t>I</w:t>
      </w:r>
      <w:r>
        <w:t xml:space="preserve">ntra-carrier guards for 40 and 80 MHz </w:t>
      </w:r>
      <w:r w:rsidR="001D7431">
        <w:t xml:space="preserve">carriers </w:t>
      </w:r>
      <w:r>
        <w:t>that achieve the overlap property</w:t>
      </w:r>
      <w:r w:rsidR="001D7431">
        <w:t xml:space="preserve">. </w:t>
      </w:r>
      <w:r>
        <w:t>The</w:t>
      </w:r>
      <w:r w:rsidR="001D7431">
        <w:t xml:space="preserve"> intra-carrier guards are an integer number of PRBs and are the </w:t>
      </w:r>
      <w:r w:rsidRPr="001D7431">
        <w:rPr>
          <w:i/>
        </w:rPr>
        <w:t>minimum</w:t>
      </w:r>
      <w:r>
        <w:t xml:space="preserve"> </w:t>
      </w:r>
      <w:r w:rsidR="001D7431">
        <w:t>values that ensure the overlap property. RAN4 may decide on larger values to satisfy requirements on in-carrier leakage between LBT sub-bands.</w:t>
      </w:r>
      <w:r>
        <w:t xml:space="preserve"> </w:t>
      </w:r>
    </w:p>
    <w:p w14:paraId="3F8BF26F" w14:textId="73EB7895" w:rsidR="00E7084C" w:rsidRDefault="00E7084C" w:rsidP="001C1781">
      <w:pPr>
        <w:rPr>
          <w:rFonts w:ascii="Arial" w:hAnsi="Arial"/>
          <w:lang w:eastAsia="zh-CN"/>
        </w:rPr>
      </w:pPr>
      <w:r>
        <w:rPr>
          <w:rFonts w:ascii="Arial" w:hAnsi="Arial"/>
          <w:lang w:eastAsia="zh-CN"/>
        </w:rPr>
        <w:t xml:space="preserve">To better visualize the overlap property, </w:t>
      </w:r>
      <w:r>
        <w:rPr>
          <w:rFonts w:ascii="Arial" w:hAnsi="Arial"/>
          <w:lang w:eastAsia="zh-CN"/>
        </w:rPr>
        <w:fldChar w:fldCharType="begin"/>
      </w:r>
      <w:r>
        <w:rPr>
          <w:rFonts w:ascii="Arial" w:hAnsi="Arial"/>
          <w:lang w:eastAsia="zh-CN"/>
        </w:rPr>
        <w:instrText xml:space="preserve"> REF _Ref16257605 \h  \* MERGEFORMAT </w:instrText>
      </w:r>
      <w:r>
        <w:rPr>
          <w:rFonts w:ascii="Arial" w:hAnsi="Arial"/>
          <w:lang w:eastAsia="zh-CN"/>
        </w:rPr>
      </w:r>
      <w:r>
        <w:rPr>
          <w:rFonts w:ascii="Arial" w:hAnsi="Arial"/>
          <w:lang w:eastAsia="zh-CN"/>
        </w:rPr>
        <w:fldChar w:fldCharType="separate"/>
      </w:r>
      <w:r w:rsidR="00C355A4" w:rsidRPr="00C355A4">
        <w:rPr>
          <w:rFonts w:ascii="Arial" w:hAnsi="Arial"/>
          <w:lang w:eastAsia="zh-CN"/>
        </w:rPr>
        <w:t>Figure 4</w:t>
      </w:r>
      <w:r>
        <w:rPr>
          <w:rFonts w:ascii="Arial" w:hAnsi="Arial"/>
          <w:lang w:eastAsia="zh-CN"/>
        </w:rPr>
        <w:fldChar w:fldCharType="end"/>
      </w:r>
      <w:r>
        <w:rPr>
          <w:rFonts w:ascii="Arial" w:hAnsi="Arial"/>
          <w:lang w:eastAsia="zh-CN"/>
        </w:rPr>
        <w:t xml:space="preserve"> (drawn to scale), shows a zoomed-in view of </w:t>
      </w:r>
      <w:r>
        <w:rPr>
          <w:rFonts w:ascii="Arial" w:hAnsi="Arial"/>
          <w:lang w:eastAsia="zh-CN"/>
        </w:rPr>
        <w:fldChar w:fldCharType="begin"/>
      </w:r>
      <w:r>
        <w:rPr>
          <w:rFonts w:ascii="Arial" w:hAnsi="Arial"/>
          <w:lang w:eastAsia="zh-CN"/>
        </w:rPr>
        <w:instrText xml:space="preserve"> REF _Ref16255659 \h  \* MERGEFORMAT </w:instrText>
      </w:r>
      <w:r>
        <w:rPr>
          <w:rFonts w:ascii="Arial" w:hAnsi="Arial"/>
          <w:lang w:eastAsia="zh-CN"/>
        </w:rPr>
      </w:r>
      <w:r>
        <w:rPr>
          <w:rFonts w:ascii="Arial" w:hAnsi="Arial"/>
          <w:lang w:eastAsia="zh-CN"/>
        </w:rPr>
        <w:fldChar w:fldCharType="separate"/>
      </w:r>
      <w:r w:rsidR="00C355A4" w:rsidRPr="00C355A4">
        <w:rPr>
          <w:rFonts w:ascii="Arial" w:hAnsi="Arial"/>
          <w:lang w:eastAsia="zh-CN"/>
        </w:rPr>
        <w:t>Figure 3</w:t>
      </w:r>
      <w:r>
        <w:rPr>
          <w:rFonts w:ascii="Arial" w:hAnsi="Arial"/>
          <w:lang w:eastAsia="zh-CN"/>
        </w:rPr>
        <w:fldChar w:fldCharType="end"/>
      </w:r>
      <w:r>
        <w:rPr>
          <w:rFonts w:ascii="Arial" w:hAnsi="Arial"/>
          <w:lang w:eastAsia="zh-CN"/>
        </w:rPr>
        <w:t xml:space="preserve"> showing the first two sub-bands/carriers on the left hand side. As can be seen, the 6 PRB intra-carrier guard for the 80 MHz carrier fully overlaps the 6 PRB intra-carrier guard for the 40 MHz carrier as well as the 54 subcarrier inter-carrier guard for the 20 MHz carriers.</w:t>
      </w:r>
    </w:p>
    <w:p w14:paraId="054917F4" w14:textId="77777777" w:rsidR="00E7084C" w:rsidRDefault="00E7084C" w:rsidP="00593A40">
      <w:pPr>
        <w:keepNext/>
        <w:spacing w:after="0"/>
        <w:ind w:left="-720"/>
      </w:pPr>
      <w:r>
        <w:rPr>
          <w:rFonts w:ascii="Arial" w:hAnsi="Arial"/>
          <w:noProof/>
          <w:lang w:eastAsia="zh-CN"/>
        </w:rPr>
        <w:drawing>
          <wp:inline distT="0" distB="0" distL="0" distR="0" wp14:anchorId="36452273" wp14:editId="1DF3EA75">
            <wp:extent cx="6858000" cy="23134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58000" cy="2313432"/>
                    </a:xfrm>
                    <a:prstGeom prst="rect">
                      <a:avLst/>
                    </a:prstGeom>
                    <a:noFill/>
                  </pic:spPr>
                </pic:pic>
              </a:graphicData>
            </a:graphic>
          </wp:inline>
        </w:drawing>
      </w:r>
    </w:p>
    <w:p w14:paraId="4BC3CAEC" w14:textId="22A98DDF" w:rsidR="00C72B03" w:rsidRDefault="00E7084C" w:rsidP="00E7084C">
      <w:pPr>
        <w:pStyle w:val="Caption"/>
        <w:rPr>
          <w:rFonts w:ascii="Arial" w:hAnsi="Arial"/>
          <w:lang w:eastAsia="zh-CN"/>
        </w:rPr>
      </w:pPr>
      <w:bookmarkStart w:id="20" w:name="_Ref16257605"/>
      <w:r>
        <w:t xml:space="preserve">Figure </w:t>
      </w:r>
      <w:r w:rsidR="000A42E5">
        <w:rPr>
          <w:noProof/>
        </w:rPr>
        <w:fldChar w:fldCharType="begin"/>
      </w:r>
      <w:r w:rsidR="000A42E5">
        <w:rPr>
          <w:noProof/>
        </w:rPr>
        <w:instrText xml:space="preserve"> SEQ Figure \* ARABIC </w:instrText>
      </w:r>
      <w:r w:rsidR="000A42E5">
        <w:rPr>
          <w:noProof/>
        </w:rPr>
        <w:fldChar w:fldCharType="separate"/>
      </w:r>
      <w:r w:rsidR="00C355A4">
        <w:rPr>
          <w:noProof/>
        </w:rPr>
        <w:t>4</w:t>
      </w:r>
      <w:r w:rsidR="000A42E5">
        <w:rPr>
          <w:noProof/>
        </w:rPr>
        <w:fldChar w:fldCharType="end"/>
      </w:r>
      <w:bookmarkEnd w:id="20"/>
      <w:r>
        <w:t xml:space="preserve">: Zoomed-in view of </w:t>
      </w:r>
      <w:r>
        <w:fldChar w:fldCharType="begin"/>
      </w:r>
      <w:r>
        <w:instrText xml:space="preserve"> REF _Ref16255659 \h </w:instrText>
      </w:r>
      <w:r>
        <w:fldChar w:fldCharType="separate"/>
      </w:r>
      <w:r w:rsidR="00C355A4">
        <w:t xml:space="preserve">Figure </w:t>
      </w:r>
      <w:r w:rsidR="00C355A4">
        <w:rPr>
          <w:noProof/>
        </w:rPr>
        <w:t>3</w:t>
      </w:r>
      <w:r>
        <w:fldChar w:fldCharType="end"/>
      </w:r>
      <w:r>
        <w:t xml:space="preserve"> showing the first two sub-bands/carriers on the </w:t>
      </w:r>
      <w:proofErr w:type="gramStart"/>
      <w:r>
        <w:t>left hand</w:t>
      </w:r>
      <w:proofErr w:type="gramEnd"/>
      <w:r>
        <w:t xml:space="preserve"> side </w:t>
      </w:r>
    </w:p>
    <w:p w14:paraId="656FDF88" w14:textId="2E0B3388" w:rsidR="00E7084C" w:rsidRDefault="00E7084C" w:rsidP="001C1781">
      <w:pPr>
        <w:rPr>
          <w:rFonts w:ascii="Arial" w:hAnsi="Arial"/>
          <w:lang w:eastAsia="zh-CN"/>
        </w:rPr>
      </w:pPr>
    </w:p>
    <w:p w14:paraId="7EC4A505" w14:textId="36C9D685" w:rsidR="00E7084C" w:rsidRDefault="00E7084C" w:rsidP="001C1781">
      <w:pPr>
        <w:rPr>
          <w:rFonts w:ascii="Arial" w:hAnsi="Arial"/>
          <w:lang w:eastAsia="zh-CN"/>
        </w:rPr>
      </w:pPr>
      <w:r>
        <w:rPr>
          <w:rFonts w:ascii="Arial" w:hAnsi="Arial"/>
          <w:lang w:eastAsia="zh-CN"/>
        </w:rPr>
        <w:lastRenderedPageBreak/>
        <w:t xml:space="preserve">While the above figures show the minimum intra-carrier guard bands needed to achieve the overlap property, what is also needed from a RAN1 perspective is the PRB indices of the intra-carrier guards in order to avoid scheduling in the guards. </w:t>
      </w:r>
      <w:r w:rsidR="00E049F0">
        <w:rPr>
          <w:rFonts w:ascii="Arial" w:hAnsi="Arial"/>
          <w:lang w:eastAsia="zh-CN"/>
        </w:rPr>
        <w:t xml:space="preserve">This is easily calculated once the channel raster is known. </w:t>
      </w:r>
      <w:r w:rsidR="00E049F0">
        <w:rPr>
          <w:rFonts w:ascii="Arial" w:hAnsi="Arial"/>
          <w:lang w:eastAsia="zh-CN"/>
        </w:rPr>
        <w:fldChar w:fldCharType="begin"/>
      </w:r>
      <w:r w:rsidR="00E049F0">
        <w:rPr>
          <w:rFonts w:ascii="Arial" w:hAnsi="Arial"/>
          <w:lang w:eastAsia="zh-CN"/>
        </w:rPr>
        <w:instrText xml:space="preserve"> REF _Ref16258245 \h  \* MERGEFORMAT </w:instrText>
      </w:r>
      <w:r w:rsidR="00E049F0">
        <w:rPr>
          <w:rFonts w:ascii="Arial" w:hAnsi="Arial"/>
          <w:lang w:eastAsia="zh-CN"/>
        </w:rPr>
      </w:r>
      <w:r w:rsidR="00E049F0">
        <w:rPr>
          <w:rFonts w:ascii="Arial" w:hAnsi="Arial"/>
          <w:lang w:eastAsia="zh-CN"/>
        </w:rPr>
        <w:fldChar w:fldCharType="separate"/>
      </w:r>
      <w:r w:rsidR="00C355A4" w:rsidRPr="00C355A4">
        <w:rPr>
          <w:rFonts w:ascii="Arial" w:hAnsi="Arial"/>
          <w:lang w:eastAsia="zh-CN"/>
        </w:rPr>
        <w:t>Table 1</w:t>
      </w:r>
      <w:r w:rsidR="00E049F0">
        <w:rPr>
          <w:rFonts w:ascii="Arial" w:hAnsi="Arial"/>
          <w:lang w:eastAsia="zh-CN"/>
        </w:rPr>
        <w:fldChar w:fldCharType="end"/>
      </w:r>
      <w:r w:rsidR="00E049F0">
        <w:rPr>
          <w:rFonts w:ascii="Arial" w:hAnsi="Arial"/>
          <w:lang w:eastAsia="zh-CN"/>
        </w:rPr>
        <w:t xml:space="preserve"> shows the PRB indices of the intra-carrier guards for 40 and 80 MHz channels for both 15 and 30 kHz assuming the channel raster design used from above.</w:t>
      </w:r>
      <w:r w:rsidR="00126C7B">
        <w:rPr>
          <w:rFonts w:ascii="Arial" w:hAnsi="Arial"/>
          <w:lang w:eastAsia="zh-CN"/>
        </w:rPr>
        <w:t xml:space="preserve"> Flipped around the other way, these PRB indices can be used to define a range of PRB indices for the LBT sub-bands that are available for PDSCH scheduling. As stated in </w:t>
      </w:r>
      <w:r w:rsidR="00126C7B">
        <w:rPr>
          <w:rFonts w:ascii="Arial" w:hAnsi="Arial"/>
          <w:lang w:eastAsia="zh-CN"/>
        </w:rPr>
        <w:fldChar w:fldCharType="begin"/>
      </w:r>
      <w:r w:rsidR="00126C7B">
        <w:rPr>
          <w:rFonts w:ascii="Arial" w:hAnsi="Arial"/>
          <w:lang w:eastAsia="zh-CN"/>
        </w:rPr>
        <w:instrText xml:space="preserve"> REF _Ref16258692 \r \h </w:instrText>
      </w:r>
      <w:r w:rsidR="00126C7B">
        <w:rPr>
          <w:rFonts w:ascii="Arial" w:hAnsi="Arial"/>
          <w:lang w:eastAsia="zh-CN"/>
        </w:rPr>
      </w:r>
      <w:r w:rsidR="00126C7B">
        <w:rPr>
          <w:rFonts w:ascii="Arial" w:hAnsi="Arial"/>
          <w:lang w:eastAsia="zh-CN"/>
        </w:rPr>
        <w:fldChar w:fldCharType="separate"/>
      </w:r>
      <w:r w:rsidR="00C355A4">
        <w:rPr>
          <w:rFonts w:ascii="Arial" w:hAnsi="Arial"/>
          <w:lang w:eastAsia="zh-CN"/>
        </w:rPr>
        <w:t>Proposal 2</w:t>
      </w:r>
      <w:r w:rsidR="00126C7B">
        <w:rPr>
          <w:rFonts w:ascii="Arial" w:hAnsi="Arial"/>
          <w:lang w:eastAsia="zh-CN"/>
        </w:rPr>
        <w:fldChar w:fldCharType="end"/>
      </w:r>
      <w:r w:rsidR="00126C7B">
        <w:rPr>
          <w:rFonts w:ascii="Arial" w:hAnsi="Arial"/>
          <w:lang w:eastAsia="zh-CN"/>
        </w:rPr>
        <w:t xml:space="preserve">, </w:t>
      </w:r>
      <w:r w:rsidR="00A85770">
        <w:rPr>
          <w:rFonts w:ascii="Arial" w:hAnsi="Arial"/>
          <w:lang w:eastAsia="zh-CN"/>
        </w:rPr>
        <w:t>by use of</w:t>
      </w:r>
      <w:r w:rsidR="00126C7B">
        <w:rPr>
          <w:rFonts w:ascii="Arial" w:hAnsi="Arial"/>
          <w:lang w:eastAsia="zh-CN"/>
        </w:rPr>
        <w:t xml:space="preserve"> such PRB ranges, it is possible to specify Wideband Mode 2 operation with channel puncturing</w:t>
      </w:r>
      <w:r w:rsidR="00A85770">
        <w:rPr>
          <w:rFonts w:ascii="Arial" w:hAnsi="Arial"/>
          <w:lang w:eastAsia="zh-CN"/>
        </w:rPr>
        <w:t xml:space="preserve"> such that LBT </w:t>
      </w:r>
      <w:proofErr w:type="spellStart"/>
      <w:r w:rsidR="00A85770">
        <w:rPr>
          <w:rFonts w:ascii="Arial" w:hAnsi="Arial"/>
          <w:lang w:eastAsia="zh-CN"/>
        </w:rPr>
        <w:t>subbands</w:t>
      </w:r>
      <w:proofErr w:type="spellEnd"/>
      <w:r w:rsidR="00A85770">
        <w:rPr>
          <w:rFonts w:ascii="Arial" w:hAnsi="Arial"/>
          <w:lang w:eastAsia="zh-CN"/>
        </w:rPr>
        <w:t xml:space="preserve"> are transparent to RAN1 specifications.</w:t>
      </w:r>
    </w:p>
    <w:p w14:paraId="647D4CD0" w14:textId="5183253A" w:rsidR="00E049F0" w:rsidRDefault="00E049F0" w:rsidP="00E049F0">
      <w:pPr>
        <w:pStyle w:val="Caption"/>
        <w:keepNext/>
        <w:jc w:val="center"/>
      </w:pPr>
      <w:bookmarkStart w:id="21" w:name="_Ref16258245"/>
      <w:bookmarkStart w:id="22" w:name="_Ref16258238"/>
      <w:r>
        <w:t xml:space="preserve">Table </w:t>
      </w:r>
      <w:r w:rsidR="000A42E5">
        <w:rPr>
          <w:noProof/>
        </w:rPr>
        <w:fldChar w:fldCharType="begin"/>
      </w:r>
      <w:r w:rsidR="000A42E5">
        <w:rPr>
          <w:noProof/>
        </w:rPr>
        <w:instrText xml:space="preserve"> SEQ Table \*</w:instrText>
      </w:r>
      <w:r w:rsidR="000A42E5">
        <w:rPr>
          <w:noProof/>
        </w:rPr>
        <w:instrText xml:space="preserve"> ARABIC </w:instrText>
      </w:r>
      <w:r w:rsidR="000A42E5">
        <w:rPr>
          <w:noProof/>
        </w:rPr>
        <w:fldChar w:fldCharType="separate"/>
      </w:r>
      <w:r w:rsidR="00C355A4">
        <w:rPr>
          <w:noProof/>
        </w:rPr>
        <w:t>1</w:t>
      </w:r>
      <w:r w:rsidR="000A42E5">
        <w:rPr>
          <w:noProof/>
        </w:rPr>
        <w:fldChar w:fldCharType="end"/>
      </w:r>
      <w:bookmarkEnd w:id="21"/>
      <w:r>
        <w:t xml:space="preserve">: PRB indices of the </w:t>
      </w:r>
      <w:r w:rsidR="00593A40" w:rsidRPr="0069589E">
        <w:rPr>
          <w:i/>
        </w:rPr>
        <w:t>minimum</w:t>
      </w:r>
      <w:r w:rsidR="00593A40">
        <w:t xml:space="preserve"> </w:t>
      </w:r>
      <w:r>
        <w:t>intra-carrier guards for 40 and 80 MHz carriers for both 15 and 30 kHz SCS</w:t>
      </w:r>
      <w:bookmarkEnd w:id="22"/>
    </w:p>
    <w:p w14:paraId="1D5D508D" w14:textId="3524C9DF" w:rsidR="00E7084C" w:rsidRDefault="00E7084C" w:rsidP="00E7084C">
      <w:pPr>
        <w:jc w:val="center"/>
        <w:rPr>
          <w:rFonts w:ascii="Arial" w:hAnsi="Arial"/>
          <w:lang w:eastAsia="zh-CN"/>
        </w:rPr>
      </w:pPr>
      <w:r>
        <w:rPr>
          <w:rFonts w:ascii="Arial" w:hAnsi="Arial"/>
          <w:noProof/>
          <w:lang w:eastAsia="zh-CN"/>
        </w:rPr>
        <w:drawing>
          <wp:inline distT="0" distB="0" distL="0" distR="0" wp14:anchorId="5289E9E9" wp14:editId="5F612D14">
            <wp:extent cx="5486400" cy="18562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1856232"/>
                    </a:xfrm>
                    <a:prstGeom prst="rect">
                      <a:avLst/>
                    </a:prstGeom>
                    <a:noFill/>
                  </pic:spPr>
                </pic:pic>
              </a:graphicData>
            </a:graphic>
          </wp:inline>
        </w:drawing>
      </w:r>
    </w:p>
    <w:p w14:paraId="23378ABA" w14:textId="77777777" w:rsidR="00E7084C" w:rsidRDefault="00E7084C" w:rsidP="001C1781">
      <w:pPr>
        <w:rPr>
          <w:rFonts w:ascii="Arial" w:hAnsi="Arial"/>
          <w:lang w:eastAsia="zh-CN"/>
        </w:rPr>
      </w:pPr>
    </w:p>
    <w:p w14:paraId="5C5AF1FB" w14:textId="1C723BE1" w:rsidR="001C1781" w:rsidRDefault="001C1781" w:rsidP="001C1781">
      <w:pPr>
        <w:rPr>
          <w:rFonts w:ascii="Arial" w:hAnsi="Arial"/>
          <w:lang w:eastAsia="zh-CN"/>
        </w:rPr>
      </w:pPr>
      <w:r w:rsidRPr="001C1781">
        <w:rPr>
          <w:rFonts w:ascii="Arial" w:hAnsi="Arial"/>
          <w:lang w:eastAsia="zh-CN"/>
        </w:rPr>
        <w:t xml:space="preserve">Based on the </w:t>
      </w:r>
      <w:r>
        <w:rPr>
          <w:rFonts w:ascii="Arial" w:hAnsi="Arial"/>
          <w:lang w:eastAsia="zh-CN"/>
        </w:rPr>
        <w:t>above discussion we propose the following:</w:t>
      </w:r>
    </w:p>
    <w:p w14:paraId="28306F88" w14:textId="77777777" w:rsidR="001C1781" w:rsidRDefault="001C1781" w:rsidP="001C1781">
      <w:pPr>
        <w:pStyle w:val="Proposal"/>
      </w:pPr>
      <w:bookmarkStart w:id="23" w:name="_Toc16685196"/>
      <w:r>
        <w:t>Support a channel raster design for 20, 40, and 80 MHz carriers for both 15 and 30 kHz SCS that simultaneously achieves the following properties:</w:t>
      </w:r>
      <w:bookmarkEnd w:id="23"/>
    </w:p>
    <w:p w14:paraId="65337CB6" w14:textId="77777777" w:rsidR="001C1781" w:rsidRDefault="001C1781" w:rsidP="001C1781">
      <w:pPr>
        <w:pStyle w:val="Proposal"/>
        <w:numPr>
          <w:ilvl w:val="1"/>
          <w:numId w:val="2"/>
        </w:numPr>
        <w:tabs>
          <w:tab w:val="clear" w:pos="1440"/>
          <w:tab w:val="clear" w:pos="1701"/>
        </w:tabs>
        <w:ind w:left="2070"/>
      </w:pPr>
      <w:bookmarkStart w:id="24" w:name="_Toc16685197"/>
      <w:r>
        <w:t xml:space="preserve">Inter-carrier </w:t>
      </w:r>
      <w:proofErr w:type="spellStart"/>
      <w:r>
        <w:t>guardbands</w:t>
      </w:r>
      <w:proofErr w:type="spellEnd"/>
      <w:r>
        <w:t xml:space="preserve"> between any two carriers are an integer number of subcarriers and satisfy the minimum </w:t>
      </w:r>
      <w:proofErr w:type="spellStart"/>
      <w:r>
        <w:t>guardband</w:t>
      </w:r>
      <w:proofErr w:type="spellEnd"/>
      <w:r>
        <w:t xml:space="preserve"> requirements specified in 38.104 Table 5.3.3-1.</w:t>
      </w:r>
      <w:bookmarkEnd w:id="24"/>
    </w:p>
    <w:p w14:paraId="034436D3" w14:textId="77777777" w:rsidR="001C1781" w:rsidRDefault="001C1781" w:rsidP="001C1781">
      <w:pPr>
        <w:pStyle w:val="Proposal"/>
        <w:numPr>
          <w:ilvl w:val="1"/>
          <w:numId w:val="2"/>
        </w:numPr>
        <w:tabs>
          <w:tab w:val="clear" w:pos="1440"/>
          <w:tab w:val="clear" w:pos="1701"/>
        </w:tabs>
        <w:ind w:left="2070"/>
      </w:pPr>
      <w:bookmarkStart w:id="25" w:name="_Toc16685198"/>
      <w:r>
        <w:t>Intra-carrier carrier guards within a 40 and 80 MHz carrier are in integer number of PRBs and satisfy RAN4 requirements on in-carrier leakage between LBT sub-bands.</w:t>
      </w:r>
      <w:bookmarkEnd w:id="25"/>
    </w:p>
    <w:p w14:paraId="6AF7F4EC" w14:textId="58717E9C" w:rsidR="001C1781" w:rsidRDefault="001C1781" w:rsidP="001C1781">
      <w:pPr>
        <w:pStyle w:val="Proposal"/>
        <w:numPr>
          <w:ilvl w:val="1"/>
          <w:numId w:val="2"/>
        </w:numPr>
        <w:tabs>
          <w:tab w:val="clear" w:pos="1440"/>
          <w:tab w:val="clear" w:pos="1701"/>
        </w:tabs>
        <w:ind w:left="2070"/>
      </w:pPr>
      <w:bookmarkStart w:id="26" w:name="_Toc16685199"/>
      <w:r>
        <w:t>Intra-carrier guards within a wider carrier fully overlap both the intra-carrier and inter-carrier guards of narrower carriers.</w:t>
      </w:r>
      <w:bookmarkEnd w:id="26"/>
    </w:p>
    <w:p w14:paraId="269573C7" w14:textId="55413C27" w:rsidR="00C01F33" w:rsidRPr="00CE0424" w:rsidRDefault="00C01F33" w:rsidP="004A3521">
      <w:pPr>
        <w:pStyle w:val="Heading1"/>
      </w:pPr>
      <w:r w:rsidRPr="00CE0424">
        <w:t>Conclusion</w:t>
      </w:r>
    </w:p>
    <w:p w14:paraId="4E87633F" w14:textId="6CE311B1" w:rsidR="008E065E" w:rsidRPr="002B28E7" w:rsidRDefault="008E065E" w:rsidP="008E065E">
      <w:pPr>
        <w:pStyle w:val="BodyText"/>
        <w:rPr>
          <w:b/>
          <w:bCs/>
        </w:rPr>
      </w:pPr>
      <w:r w:rsidRPr="002B28E7">
        <w:t xml:space="preserve">In </w:t>
      </w:r>
      <w:r w:rsidR="00F75255" w:rsidRPr="002B28E7">
        <w:t>this paper</w:t>
      </w:r>
      <w:r w:rsidRPr="002B28E7">
        <w:t xml:space="preserve"> we made the following observations:</w:t>
      </w:r>
      <w:r w:rsidR="00C93814" w:rsidRPr="002B28E7">
        <w:rPr>
          <w:b/>
          <w:bCs/>
        </w:rPr>
        <w:t xml:space="preserve"> </w:t>
      </w:r>
    </w:p>
    <w:p w14:paraId="7D346ECA" w14:textId="6968F007" w:rsidR="002C302D" w:rsidRDefault="006F6582" w:rsidP="000A42E5">
      <w:pPr>
        <w:pStyle w:val="TableofFigures"/>
        <w:tabs>
          <w:tab w:val="right" w:leader="dot" w:pos="9629"/>
        </w:tabs>
        <w:spacing w:after="0"/>
        <w:rPr>
          <w:rFonts w:asciiTheme="minorHAnsi" w:eastAsiaTheme="minorEastAsia" w:hAnsiTheme="minorHAnsi"/>
          <w:b w:val="0"/>
          <w:noProof/>
          <w:lang w:eastAsia="en-US"/>
        </w:rPr>
      </w:pPr>
      <w:r>
        <w:rPr>
          <w:bCs/>
        </w:rPr>
        <w:fldChar w:fldCharType="begin"/>
      </w:r>
      <w:r>
        <w:rPr>
          <w:bCs/>
        </w:rPr>
        <w:instrText xml:space="preserve"> TOC \f O \n \h \z \t "Observation" \c </w:instrText>
      </w:r>
      <w:r>
        <w:rPr>
          <w:bCs/>
        </w:rPr>
        <w:fldChar w:fldCharType="separate"/>
      </w:r>
      <w:hyperlink w:anchor="_Toc16685183" w:history="1">
        <w:r w:rsidR="002C302D" w:rsidRPr="00BA6DA2">
          <w:rPr>
            <w:rStyle w:val="Hyperlink"/>
            <w:noProof/>
          </w:rPr>
          <w:t>Observation 1</w:t>
        </w:r>
        <w:r w:rsidR="002C302D">
          <w:rPr>
            <w:rFonts w:asciiTheme="minorHAnsi" w:eastAsiaTheme="minorEastAsia" w:hAnsiTheme="minorHAnsi"/>
            <w:b w:val="0"/>
            <w:noProof/>
            <w:lang w:eastAsia="en-US"/>
          </w:rPr>
          <w:tab/>
        </w:r>
        <w:r w:rsidR="002C302D" w:rsidRPr="00BA6DA2">
          <w:rPr>
            <w:rStyle w:val="Hyperlink"/>
            <w:noProof/>
          </w:rPr>
          <w:t>For the purposes of discussion, two wideband carrier aggregation modes are defined as follows:</w:t>
        </w:r>
      </w:hyperlink>
    </w:p>
    <w:p w14:paraId="5F8B30B8" w14:textId="4C8CF783" w:rsidR="002C302D" w:rsidRDefault="000A42E5" w:rsidP="000A42E5">
      <w:pPr>
        <w:pStyle w:val="TableofFigures"/>
        <w:tabs>
          <w:tab w:val="right" w:leader="dot" w:pos="9629"/>
        </w:tabs>
        <w:spacing w:after="0"/>
        <w:ind w:left="2070" w:hanging="369"/>
        <w:rPr>
          <w:rFonts w:asciiTheme="minorHAnsi" w:eastAsiaTheme="minorEastAsia" w:hAnsiTheme="minorHAnsi"/>
          <w:b w:val="0"/>
          <w:noProof/>
          <w:lang w:eastAsia="en-US"/>
        </w:rPr>
      </w:pPr>
      <w:hyperlink w:anchor="_Toc16685184" w:history="1">
        <w:r w:rsidR="002C302D" w:rsidRPr="00BA6DA2">
          <w:rPr>
            <w:rStyle w:val="Hyperlink"/>
            <w:rFonts w:ascii="Courier New" w:hAnsi="Courier New" w:cs="Courier New"/>
            <w:noProof/>
          </w:rPr>
          <w:t>o</w:t>
        </w:r>
        <w:r w:rsidR="002C302D">
          <w:rPr>
            <w:rFonts w:asciiTheme="minorHAnsi" w:eastAsiaTheme="minorEastAsia" w:hAnsiTheme="minorHAnsi"/>
            <w:b w:val="0"/>
            <w:noProof/>
            <w:lang w:eastAsia="en-US"/>
          </w:rPr>
          <w:tab/>
        </w:r>
        <w:r w:rsidR="002C302D" w:rsidRPr="00BA6DA2">
          <w:rPr>
            <w:rStyle w:val="Hyperlink"/>
            <w:noProof/>
          </w:rPr>
          <w:t>Wideband Mode 1 (WB1):</w:t>
        </w:r>
      </w:hyperlink>
    </w:p>
    <w:p w14:paraId="79D8EE10" w14:textId="4159C76C" w:rsidR="002C302D" w:rsidRDefault="000A42E5" w:rsidP="000A42E5">
      <w:pPr>
        <w:pStyle w:val="TableofFigures"/>
        <w:tabs>
          <w:tab w:val="right" w:leader="dot" w:pos="9629"/>
        </w:tabs>
        <w:spacing w:after="0"/>
        <w:ind w:left="2610" w:hanging="342"/>
        <w:rPr>
          <w:rFonts w:asciiTheme="minorHAnsi" w:eastAsiaTheme="minorEastAsia" w:hAnsiTheme="minorHAnsi"/>
          <w:b w:val="0"/>
          <w:noProof/>
          <w:lang w:eastAsia="en-US"/>
        </w:rPr>
      </w:pPr>
      <w:hyperlink w:anchor="_Toc16685185" w:history="1">
        <w:r w:rsidR="002C302D" w:rsidRPr="00BA6DA2">
          <w:rPr>
            <w:rStyle w:val="Hyperlink"/>
            <w:rFonts w:ascii="Wingdings" w:hAnsi="Wingdings"/>
            <w:noProof/>
          </w:rPr>
          <w:t></w:t>
        </w:r>
        <w:r w:rsidR="002C302D">
          <w:rPr>
            <w:rFonts w:asciiTheme="minorHAnsi" w:eastAsiaTheme="minorEastAsia" w:hAnsiTheme="minorHAnsi"/>
            <w:b w:val="0"/>
            <w:noProof/>
            <w:lang w:eastAsia="en-US"/>
          </w:rPr>
          <w:tab/>
        </w:r>
        <w:r w:rsidR="002C302D" w:rsidRPr="00BA6DA2">
          <w:rPr>
            <w:rStyle w:val="Hyperlink"/>
            <w:noProof/>
          </w:rPr>
          <w:t>Carrier bandwidth is equal to the LBT bandwidth (CBW = LBW)</w:t>
        </w:r>
      </w:hyperlink>
    </w:p>
    <w:p w14:paraId="1231D93F" w14:textId="53D5F486" w:rsidR="002C302D" w:rsidRDefault="000A42E5" w:rsidP="000A42E5">
      <w:pPr>
        <w:pStyle w:val="TableofFigures"/>
        <w:tabs>
          <w:tab w:val="right" w:leader="dot" w:pos="9629"/>
        </w:tabs>
        <w:spacing w:after="0"/>
        <w:ind w:left="2070" w:hanging="369"/>
        <w:rPr>
          <w:rFonts w:asciiTheme="minorHAnsi" w:eastAsiaTheme="minorEastAsia" w:hAnsiTheme="minorHAnsi"/>
          <w:b w:val="0"/>
          <w:noProof/>
          <w:lang w:eastAsia="en-US"/>
        </w:rPr>
      </w:pPr>
      <w:hyperlink w:anchor="_Toc16685186" w:history="1">
        <w:r w:rsidR="002C302D" w:rsidRPr="00BA6DA2">
          <w:rPr>
            <w:rStyle w:val="Hyperlink"/>
            <w:rFonts w:ascii="Courier New" w:hAnsi="Courier New" w:cs="Courier New"/>
            <w:noProof/>
          </w:rPr>
          <w:t>o</w:t>
        </w:r>
        <w:r w:rsidR="002C302D">
          <w:rPr>
            <w:rFonts w:asciiTheme="minorHAnsi" w:eastAsiaTheme="minorEastAsia" w:hAnsiTheme="minorHAnsi"/>
            <w:b w:val="0"/>
            <w:noProof/>
            <w:lang w:eastAsia="en-US"/>
          </w:rPr>
          <w:tab/>
        </w:r>
        <w:r w:rsidR="002C302D" w:rsidRPr="00BA6DA2">
          <w:rPr>
            <w:rStyle w:val="Hyperlink"/>
            <w:noProof/>
          </w:rPr>
          <w:t>Wideband Mode 2 (WB2):</w:t>
        </w:r>
      </w:hyperlink>
    </w:p>
    <w:p w14:paraId="1D67FC10" w14:textId="2D244EA5" w:rsidR="002C302D" w:rsidRDefault="000A42E5" w:rsidP="000A42E5">
      <w:pPr>
        <w:pStyle w:val="TableofFigures"/>
        <w:tabs>
          <w:tab w:val="right" w:leader="dot" w:pos="9629"/>
        </w:tabs>
        <w:spacing w:after="0"/>
        <w:ind w:left="2610" w:hanging="342"/>
        <w:rPr>
          <w:rFonts w:asciiTheme="minorHAnsi" w:eastAsiaTheme="minorEastAsia" w:hAnsiTheme="minorHAnsi"/>
          <w:b w:val="0"/>
          <w:noProof/>
          <w:lang w:eastAsia="en-US"/>
        </w:rPr>
      </w:pPr>
      <w:hyperlink w:anchor="_Toc16685187" w:history="1">
        <w:r w:rsidR="002C302D" w:rsidRPr="00BA6DA2">
          <w:rPr>
            <w:rStyle w:val="Hyperlink"/>
            <w:rFonts w:ascii="Wingdings" w:hAnsi="Wingdings"/>
            <w:noProof/>
          </w:rPr>
          <w:t></w:t>
        </w:r>
        <w:r w:rsidR="002C302D">
          <w:rPr>
            <w:rFonts w:asciiTheme="minorHAnsi" w:eastAsiaTheme="minorEastAsia" w:hAnsiTheme="minorHAnsi"/>
            <w:b w:val="0"/>
            <w:noProof/>
            <w:lang w:eastAsia="en-US"/>
          </w:rPr>
          <w:tab/>
        </w:r>
        <w:r w:rsidR="002C302D" w:rsidRPr="00BA6DA2">
          <w:rPr>
            <w:rStyle w:val="Hyperlink"/>
            <w:noProof/>
          </w:rPr>
          <w:t>Carrier bandwidth is greater than the LBT bandwidth (CBW &gt; LBW)</w:t>
        </w:r>
      </w:hyperlink>
    </w:p>
    <w:p w14:paraId="393DB1CD" w14:textId="7BE5B8E5" w:rsidR="002C302D" w:rsidRDefault="000A42E5" w:rsidP="000A42E5">
      <w:pPr>
        <w:pStyle w:val="TableofFigures"/>
        <w:tabs>
          <w:tab w:val="right" w:leader="dot" w:pos="9629"/>
        </w:tabs>
        <w:spacing w:after="0"/>
        <w:ind w:left="2610" w:hanging="342"/>
        <w:rPr>
          <w:rFonts w:asciiTheme="minorHAnsi" w:eastAsiaTheme="minorEastAsia" w:hAnsiTheme="minorHAnsi"/>
          <w:b w:val="0"/>
          <w:noProof/>
          <w:lang w:eastAsia="en-US"/>
        </w:rPr>
      </w:pPr>
      <w:hyperlink w:anchor="_Toc16685188" w:history="1">
        <w:r w:rsidR="002C302D" w:rsidRPr="00BA6DA2">
          <w:rPr>
            <w:rStyle w:val="Hyperlink"/>
            <w:rFonts w:ascii="Wingdings" w:hAnsi="Wingdings"/>
            <w:noProof/>
          </w:rPr>
          <w:t></w:t>
        </w:r>
        <w:r w:rsidR="002C302D">
          <w:rPr>
            <w:rFonts w:asciiTheme="minorHAnsi" w:eastAsiaTheme="minorEastAsia" w:hAnsiTheme="minorHAnsi"/>
            <w:b w:val="0"/>
            <w:noProof/>
            <w:lang w:eastAsia="en-US"/>
          </w:rPr>
          <w:tab/>
        </w:r>
        <w:r w:rsidR="002C302D" w:rsidRPr="00BA6DA2">
          <w:rPr>
            <w:rStyle w:val="Hyperlink"/>
            <w:noProof/>
          </w:rPr>
          <w:t>A carrier consists of multiple LBT sub-bands, each of bandwidth LBW</w:t>
        </w:r>
      </w:hyperlink>
      <w:bookmarkStart w:id="27" w:name="_GoBack"/>
      <w:bookmarkEnd w:id="27"/>
    </w:p>
    <w:p w14:paraId="0EDAE3F6" w14:textId="292BDD94" w:rsidR="002C302D" w:rsidRDefault="000A42E5">
      <w:pPr>
        <w:pStyle w:val="TableofFigures"/>
        <w:tabs>
          <w:tab w:val="right" w:leader="dot" w:pos="9629"/>
        </w:tabs>
        <w:rPr>
          <w:rFonts w:asciiTheme="minorHAnsi" w:eastAsiaTheme="minorEastAsia" w:hAnsiTheme="minorHAnsi"/>
          <w:b w:val="0"/>
          <w:noProof/>
          <w:lang w:eastAsia="en-US"/>
        </w:rPr>
      </w:pPr>
      <w:hyperlink w:anchor="_Toc16685189" w:history="1">
        <w:r w:rsidR="002C302D" w:rsidRPr="00BA6DA2">
          <w:rPr>
            <w:rStyle w:val="Hyperlink"/>
            <w:noProof/>
          </w:rPr>
          <w:t>Observation 2</w:t>
        </w:r>
        <w:r w:rsidR="002C302D">
          <w:rPr>
            <w:rFonts w:asciiTheme="minorHAnsi" w:eastAsiaTheme="minorEastAsia" w:hAnsiTheme="minorHAnsi"/>
            <w:b w:val="0"/>
            <w:noProof/>
            <w:lang w:eastAsia="en-US"/>
          </w:rPr>
          <w:tab/>
        </w:r>
        <w:r w:rsidR="002C302D" w:rsidRPr="00BA6DA2">
          <w:rPr>
            <w:rStyle w:val="Hyperlink"/>
            <w:noProof/>
          </w:rPr>
          <w:t>The feasibility of WB2 in the downlink (Modes 2 and 3) is dependent on guard bands not being scheduled and relaxed RF requirements for in-carrier leakage being defined, e.g., 20 dBr Wi-Fi like requirements.</w:t>
        </w:r>
      </w:hyperlink>
    </w:p>
    <w:p w14:paraId="7E6809B6" w14:textId="403F55FA" w:rsidR="002C302D" w:rsidRDefault="000A42E5">
      <w:pPr>
        <w:pStyle w:val="TableofFigures"/>
        <w:tabs>
          <w:tab w:val="right" w:leader="dot" w:pos="9629"/>
        </w:tabs>
        <w:rPr>
          <w:rFonts w:asciiTheme="minorHAnsi" w:eastAsiaTheme="minorEastAsia" w:hAnsiTheme="minorHAnsi"/>
          <w:b w:val="0"/>
          <w:noProof/>
          <w:lang w:eastAsia="en-US"/>
        </w:rPr>
      </w:pPr>
      <w:hyperlink w:anchor="_Toc16685190" w:history="1">
        <w:r w:rsidR="002C302D" w:rsidRPr="00BA6DA2">
          <w:rPr>
            <w:rStyle w:val="Hyperlink"/>
            <w:noProof/>
          </w:rPr>
          <w:t>Observation 3</w:t>
        </w:r>
        <w:r w:rsidR="002C302D">
          <w:rPr>
            <w:rFonts w:asciiTheme="minorHAnsi" w:eastAsiaTheme="minorEastAsia" w:hAnsiTheme="minorHAnsi"/>
            <w:b w:val="0"/>
            <w:noProof/>
            <w:lang w:eastAsia="en-US"/>
          </w:rPr>
          <w:tab/>
        </w:r>
        <w:r w:rsidR="002C302D" w:rsidRPr="00BA6DA2">
          <w:rPr>
            <w:rStyle w:val="Hyperlink"/>
            <w:noProof/>
          </w:rPr>
          <w:t>If NR-U adopts Wi-Fi like (20 dBr) RF requirements for spectral emission masks, already deployed LTE-LAA may be harmed by adjacent channel interference from NR-U.</w:t>
        </w:r>
      </w:hyperlink>
    </w:p>
    <w:p w14:paraId="784997E8" w14:textId="105DEDE0" w:rsidR="002C302D" w:rsidRDefault="000A42E5">
      <w:pPr>
        <w:pStyle w:val="TableofFigures"/>
        <w:tabs>
          <w:tab w:val="right" w:leader="dot" w:pos="9629"/>
        </w:tabs>
        <w:rPr>
          <w:rFonts w:asciiTheme="minorHAnsi" w:eastAsiaTheme="minorEastAsia" w:hAnsiTheme="minorHAnsi"/>
          <w:b w:val="0"/>
          <w:noProof/>
          <w:lang w:eastAsia="en-US"/>
        </w:rPr>
      </w:pPr>
      <w:hyperlink w:anchor="_Toc16685191" w:history="1">
        <w:r w:rsidR="002C302D" w:rsidRPr="00BA6DA2">
          <w:rPr>
            <w:rStyle w:val="Hyperlink"/>
            <w:noProof/>
          </w:rPr>
          <w:t>Observation 4</w:t>
        </w:r>
        <w:r w:rsidR="002C302D">
          <w:rPr>
            <w:rFonts w:asciiTheme="minorHAnsi" w:eastAsiaTheme="minorEastAsia" w:hAnsiTheme="minorHAnsi"/>
            <w:b w:val="0"/>
            <w:noProof/>
            <w:lang w:eastAsia="en-US"/>
          </w:rPr>
          <w:tab/>
        </w:r>
        <w:r w:rsidR="002C302D" w:rsidRPr="00BA6DA2">
          <w:rPr>
            <w:rStyle w:val="Hyperlink"/>
            <w:noProof/>
          </w:rPr>
          <w:t>RAN1 shall prioritize Alt-1 for WB2 in the uplink, i.e., the UE transmits PUSCH only if CCA is successful at the UE in all LBT bandwidths of the scheduled PUSCH.</w:t>
        </w:r>
      </w:hyperlink>
    </w:p>
    <w:p w14:paraId="3A5584CF" w14:textId="5E47E04E" w:rsidR="002C302D" w:rsidRDefault="000A42E5">
      <w:pPr>
        <w:pStyle w:val="TableofFigures"/>
        <w:tabs>
          <w:tab w:val="right" w:leader="dot" w:pos="9629"/>
        </w:tabs>
        <w:rPr>
          <w:rFonts w:asciiTheme="minorHAnsi" w:eastAsiaTheme="minorEastAsia" w:hAnsiTheme="minorHAnsi"/>
          <w:b w:val="0"/>
          <w:noProof/>
          <w:lang w:eastAsia="en-US"/>
        </w:rPr>
      </w:pPr>
      <w:hyperlink w:anchor="_Toc16685192" w:history="1">
        <w:r w:rsidR="002C302D" w:rsidRPr="00BA6DA2">
          <w:rPr>
            <w:rStyle w:val="Hyperlink"/>
            <w:noProof/>
          </w:rPr>
          <w:t>Observation 5</w:t>
        </w:r>
        <w:r w:rsidR="002C302D">
          <w:rPr>
            <w:rFonts w:asciiTheme="minorHAnsi" w:eastAsiaTheme="minorEastAsia" w:hAnsiTheme="minorHAnsi"/>
            <w:b w:val="0"/>
            <w:noProof/>
            <w:lang w:eastAsia="en-US"/>
          </w:rPr>
          <w:tab/>
        </w:r>
        <w:r w:rsidR="002C302D" w:rsidRPr="00BA6DA2">
          <w:rPr>
            <w:rStyle w:val="Hyperlink"/>
            <w:noProof/>
          </w:rPr>
          <w:t>Input from RAN4 is needed on the size of the intra-carrier guards between LBT sub-bands of a downlink wideband carrier in order to meet RAN4 specified in-carrier leakage requirements.</w:t>
        </w:r>
      </w:hyperlink>
    </w:p>
    <w:p w14:paraId="4BC6F887" w14:textId="5189AE1A" w:rsidR="00C171F6" w:rsidRDefault="006F6582" w:rsidP="006E1C82">
      <w:pPr>
        <w:pStyle w:val="BodyText"/>
        <w:rPr>
          <w:b/>
          <w:bCs/>
        </w:rPr>
      </w:pPr>
      <w:r>
        <w:rPr>
          <w:b/>
          <w:bCs/>
        </w:rPr>
        <w:fldChar w:fldCharType="end"/>
      </w:r>
    </w:p>
    <w:p w14:paraId="6449A13A" w14:textId="44AD69F7" w:rsidR="006E1C82" w:rsidRPr="002B28E7" w:rsidRDefault="008E065E" w:rsidP="006E1C82">
      <w:pPr>
        <w:pStyle w:val="BodyText"/>
      </w:pPr>
      <w:r w:rsidRPr="002B28E7">
        <w:t xml:space="preserve">Based on the discussion </w:t>
      </w:r>
      <w:r w:rsidR="00F75255" w:rsidRPr="002B28E7">
        <w:t>in this paper</w:t>
      </w:r>
      <w:r w:rsidRPr="002B28E7">
        <w:t xml:space="preserve"> we propose the following:</w:t>
      </w:r>
    </w:p>
    <w:p w14:paraId="37EF3407" w14:textId="138CE932" w:rsidR="002C302D"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16685193" w:history="1">
        <w:r w:rsidR="002C302D" w:rsidRPr="00585F22">
          <w:rPr>
            <w:rStyle w:val="Hyperlink"/>
            <w:noProof/>
          </w:rPr>
          <w:t>Proposal 1</w:t>
        </w:r>
        <w:r w:rsidR="002C302D">
          <w:rPr>
            <w:rFonts w:asciiTheme="minorHAnsi" w:eastAsiaTheme="minorEastAsia" w:hAnsiTheme="minorHAnsi"/>
            <w:b w:val="0"/>
            <w:noProof/>
            <w:lang w:eastAsia="en-US"/>
          </w:rPr>
          <w:tab/>
        </w:r>
        <w:r w:rsidR="002C302D" w:rsidRPr="00585F22">
          <w:rPr>
            <w:rStyle w:val="Hyperlink"/>
            <w:noProof/>
          </w:rPr>
          <w:t>No further work is needed in the Wideband Agenda item for wideband operation in the uplink.</w:t>
        </w:r>
      </w:hyperlink>
    </w:p>
    <w:p w14:paraId="6EABB181" w14:textId="2BBF085A" w:rsidR="002C302D" w:rsidRDefault="000A42E5">
      <w:pPr>
        <w:pStyle w:val="TableofFigures"/>
        <w:tabs>
          <w:tab w:val="right" w:leader="dot" w:pos="9629"/>
        </w:tabs>
        <w:rPr>
          <w:rFonts w:asciiTheme="minorHAnsi" w:eastAsiaTheme="minorEastAsia" w:hAnsiTheme="minorHAnsi"/>
          <w:b w:val="0"/>
          <w:noProof/>
          <w:lang w:eastAsia="en-US"/>
        </w:rPr>
      </w:pPr>
      <w:hyperlink w:anchor="_Toc16685194" w:history="1">
        <w:r w:rsidR="002C302D" w:rsidRPr="00585F22">
          <w:rPr>
            <w:rStyle w:val="Hyperlink"/>
            <w:noProof/>
          </w:rPr>
          <w:t>Proposal 2</w:t>
        </w:r>
        <w:r w:rsidR="002C302D">
          <w:rPr>
            <w:rFonts w:asciiTheme="minorHAnsi" w:eastAsiaTheme="minorEastAsia" w:hAnsiTheme="minorHAnsi"/>
            <w:b w:val="0"/>
            <w:noProof/>
            <w:lang w:eastAsia="en-US"/>
          </w:rPr>
          <w:tab/>
        </w:r>
        <w:r w:rsidR="002C302D" w:rsidRPr="00585F22">
          <w:rPr>
            <w:rStyle w:val="Hyperlink"/>
            <w:noProof/>
          </w:rPr>
          <w:t>Strive for RAN1 specifications to be transparent to LBT sub-bands. To handle intra-carrier guards for PDSCH scheduling, simply specify PRB ranges that are available for PDSCH scheduling and CORESET configuration. The remaining PRBs unavailable for PDSCH scheduling corresponds to the intra-carrier guards.</w:t>
        </w:r>
      </w:hyperlink>
    </w:p>
    <w:p w14:paraId="4BC58E36" w14:textId="3450B6FB" w:rsidR="002C302D" w:rsidRDefault="000A42E5">
      <w:pPr>
        <w:pStyle w:val="TableofFigures"/>
        <w:tabs>
          <w:tab w:val="right" w:leader="dot" w:pos="9629"/>
        </w:tabs>
        <w:rPr>
          <w:rFonts w:asciiTheme="minorHAnsi" w:eastAsiaTheme="minorEastAsia" w:hAnsiTheme="minorHAnsi"/>
          <w:b w:val="0"/>
          <w:noProof/>
          <w:lang w:eastAsia="en-US"/>
        </w:rPr>
      </w:pPr>
      <w:hyperlink w:anchor="_Toc16685195" w:history="1">
        <w:r w:rsidR="002C302D" w:rsidRPr="00585F22">
          <w:rPr>
            <w:rStyle w:val="Hyperlink"/>
            <w:noProof/>
          </w:rPr>
          <w:t>Proposal 3</w:t>
        </w:r>
        <w:r w:rsidR="002C302D">
          <w:rPr>
            <w:rFonts w:asciiTheme="minorHAnsi" w:eastAsiaTheme="minorEastAsia" w:hAnsiTheme="minorHAnsi"/>
            <w:b w:val="0"/>
            <w:noProof/>
            <w:lang w:eastAsia="en-US"/>
          </w:rPr>
          <w:tab/>
        </w:r>
        <w:r w:rsidR="002C302D" w:rsidRPr="00585F22">
          <w:rPr>
            <w:rStyle w:val="Hyperlink"/>
            <w:noProof/>
          </w:rPr>
          <w:t>For a wideband carrier consisting of multiple LBT sub-bands, support configuration of CORESET(s) that are confined within an LBT sub-band. The maximum number of CORESETs configured to a UE may need to be increased beyond the Rel-15 limit of 3.</w:t>
        </w:r>
      </w:hyperlink>
    </w:p>
    <w:p w14:paraId="74ED7A44" w14:textId="6B23775F" w:rsidR="002C302D" w:rsidRDefault="000A42E5">
      <w:pPr>
        <w:pStyle w:val="TableofFigures"/>
        <w:tabs>
          <w:tab w:val="right" w:leader="dot" w:pos="9629"/>
        </w:tabs>
        <w:rPr>
          <w:rFonts w:asciiTheme="minorHAnsi" w:eastAsiaTheme="minorEastAsia" w:hAnsiTheme="minorHAnsi"/>
          <w:b w:val="0"/>
          <w:noProof/>
          <w:lang w:eastAsia="en-US"/>
        </w:rPr>
      </w:pPr>
      <w:hyperlink w:anchor="_Toc16685196" w:history="1">
        <w:r w:rsidR="002C302D" w:rsidRPr="00585F22">
          <w:rPr>
            <w:rStyle w:val="Hyperlink"/>
            <w:noProof/>
          </w:rPr>
          <w:t>Proposal 4</w:t>
        </w:r>
        <w:r w:rsidR="002C302D">
          <w:rPr>
            <w:rFonts w:asciiTheme="minorHAnsi" w:eastAsiaTheme="minorEastAsia" w:hAnsiTheme="minorHAnsi"/>
            <w:b w:val="0"/>
            <w:noProof/>
            <w:lang w:eastAsia="en-US"/>
          </w:rPr>
          <w:tab/>
        </w:r>
        <w:r w:rsidR="002C302D" w:rsidRPr="00585F22">
          <w:rPr>
            <w:rStyle w:val="Hyperlink"/>
            <w:noProof/>
          </w:rPr>
          <w:t>Support a channel raster design for 20, 40, and 80 MHz carriers for both 15 and 30 kHz SCS that simultaneously achieves the following properties:</w:t>
        </w:r>
      </w:hyperlink>
    </w:p>
    <w:p w14:paraId="55787BF0" w14:textId="11DCE4F1" w:rsidR="002C302D" w:rsidRDefault="000A42E5" w:rsidP="000A42E5">
      <w:pPr>
        <w:pStyle w:val="TableofFigures"/>
        <w:tabs>
          <w:tab w:val="right" w:leader="dot" w:pos="9629"/>
        </w:tabs>
        <w:ind w:left="2160" w:hanging="459"/>
        <w:rPr>
          <w:rFonts w:asciiTheme="minorHAnsi" w:eastAsiaTheme="minorEastAsia" w:hAnsiTheme="minorHAnsi"/>
          <w:b w:val="0"/>
          <w:noProof/>
          <w:lang w:eastAsia="en-US"/>
        </w:rPr>
      </w:pPr>
      <w:hyperlink w:anchor="_Toc16685197" w:history="1">
        <w:r w:rsidR="002C302D" w:rsidRPr="00585F22">
          <w:rPr>
            <w:rStyle w:val="Hyperlink"/>
            <w:noProof/>
          </w:rPr>
          <w:t>a.</w:t>
        </w:r>
        <w:r w:rsidR="002C302D">
          <w:rPr>
            <w:rFonts w:asciiTheme="minorHAnsi" w:eastAsiaTheme="minorEastAsia" w:hAnsiTheme="minorHAnsi"/>
            <w:b w:val="0"/>
            <w:noProof/>
            <w:lang w:eastAsia="en-US"/>
          </w:rPr>
          <w:tab/>
        </w:r>
        <w:r w:rsidR="002C302D" w:rsidRPr="00585F22">
          <w:rPr>
            <w:rStyle w:val="Hyperlink"/>
            <w:noProof/>
          </w:rPr>
          <w:t>Inter-carrier guardbands between any two carriers are an integer number of subcarriers and satisfy the minimum guardband requirements specified in 38.104 Table 5.3.3-1.</w:t>
        </w:r>
      </w:hyperlink>
    </w:p>
    <w:p w14:paraId="0A377C22" w14:textId="74530F87" w:rsidR="002C302D" w:rsidRDefault="000A42E5" w:rsidP="000A42E5">
      <w:pPr>
        <w:pStyle w:val="TableofFigures"/>
        <w:tabs>
          <w:tab w:val="right" w:leader="dot" w:pos="9629"/>
        </w:tabs>
        <w:ind w:left="2160" w:hanging="459"/>
        <w:rPr>
          <w:rFonts w:asciiTheme="minorHAnsi" w:eastAsiaTheme="minorEastAsia" w:hAnsiTheme="minorHAnsi"/>
          <w:b w:val="0"/>
          <w:noProof/>
          <w:lang w:eastAsia="en-US"/>
        </w:rPr>
      </w:pPr>
      <w:hyperlink w:anchor="_Toc16685198" w:history="1">
        <w:r w:rsidR="002C302D" w:rsidRPr="00585F22">
          <w:rPr>
            <w:rStyle w:val="Hyperlink"/>
            <w:noProof/>
          </w:rPr>
          <w:t>b.</w:t>
        </w:r>
        <w:r w:rsidR="002C302D">
          <w:rPr>
            <w:rFonts w:asciiTheme="minorHAnsi" w:eastAsiaTheme="minorEastAsia" w:hAnsiTheme="minorHAnsi"/>
            <w:b w:val="0"/>
            <w:noProof/>
            <w:lang w:eastAsia="en-US"/>
          </w:rPr>
          <w:tab/>
        </w:r>
        <w:r w:rsidR="002C302D" w:rsidRPr="00585F22">
          <w:rPr>
            <w:rStyle w:val="Hyperlink"/>
            <w:noProof/>
          </w:rPr>
          <w:t>Intra-carrier carrier guards within a 40 and 80 MHz carrier are in integer number of PRBs and satisfy RAN4 requirements on in-carrier leakage between LBT sub-bands.</w:t>
        </w:r>
      </w:hyperlink>
    </w:p>
    <w:p w14:paraId="0DA1E4F1" w14:textId="3B4EAE91" w:rsidR="002C302D" w:rsidRDefault="000A42E5" w:rsidP="000A42E5">
      <w:pPr>
        <w:pStyle w:val="TableofFigures"/>
        <w:tabs>
          <w:tab w:val="right" w:leader="dot" w:pos="9629"/>
        </w:tabs>
        <w:ind w:left="2160" w:hanging="459"/>
        <w:rPr>
          <w:rFonts w:asciiTheme="minorHAnsi" w:eastAsiaTheme="minorEastAsia" w:hAnsiTheme="minorHAnsi"/>
          <w:b w:val="0"/>
          <w:noProof/>
          <w:lang w:eastAsia="en-US"/>
        </w:rPr>
      </w:pPr>
      <w:hyperlink w:anchor="_Toc16685199" w:history="1">
        <w:r w:rsidR="002C302D" w:rsidRPr="00585F22">
          <w:rPr>
            <w:rStyle w:val="Hyperlink"/>
            <w:noProof/>
          </w:rPr>
          <w:t>c.</w:t>
        </w:r>
        <w:r w:rsidR="002C302D">
          <w:rPr>
            <w:rFonts w:asciiTheme="minorHAnsi" w:eastAsiaTheme="minorEastAsia" w:hAnsiTheme="minorHAnsi"/>
            <w:b w:val="0"/>
            <w:noProof/>
            <w:lang w:eastAsia="en-US"/>
          </w:rPr>
          <w:tab/>
        </w:r>
        <w:r w:rsidR="002C302D" w:rsidRPr="00585F22">
          <w:rPr>
            <w:rStyle w:val="Hyperlink"/>
            <w:noProof/>
          </w:rPr>
          <w:t>Intra-carrier guards within a wider carrier fully overlap both the intra-carrier and inter-carrier guards of narrower carriers.</w:t>
        </w:r>
      </w:hyperlink>
    </w:p>
    <w:p w14:paraId="29E5F4E6" w14:textId="093DEE03" w:rsidR="00C01F33" w:rsidRPr="001F0FA7" w:rsidRDefault="006E1C82" w:rsidP="001F0FA7">
      <w:pPr>
        <w:pStyle w:val="BodyText"/>
        <w:rPr>
          <w:b/>
          <w:bCs/>
        </w:rPr>
      </w:pPr>
      <w:r>
        <w:rPr>
          <w:b/>
          <w:bCs/>
        </w:rPr>
        <w:fldChar w:fldCharType="end"/>
      </w:r>
    </w:p>
    <w:p w14:paraId="75F0F757" w14:textId="77777777" w:rsidR="00F507D1" w:rsidRPr="00CE0424" w:rsidRDefault="00F507D1" w:rsidP="004A3521">
      <w:pPr>
        <w:pStyle w:val="Heading1"/>
      </w:pPr>
      <w:bookmarkStart w:id="28" w:name="_In-sequence_SDU_delivery"/>
      <w:bookmarkEnd w:id="28"/>
      <w:r w:rsidRPr="00CE0424">
        <w:t>References</w:t>
      </w:r>
    </w:p>
    <w:p w14:paraId="0F5657BD" w14:textId="10EFFC73" w:rsidR="002A74D5" w:rsidRPr="002B28E7" w:rsidRDefault="002A74D5" w:rsidP="002A74D5">
      <w:pPr>
        <w:pStyle w:val="Reference"/>
      </w:pPr>
      <w:bookmarkStart w:id="29" w:name="_Ref1131178"/>
      <w:bookmarkStart w:id="30" w:name="_Ref534127550"/>
      <w:bookmarkStart w:id="31" w:name="_Ref525732218"/>
      <w:bookmarkStart w:id="32" w:name="_Ref525647225"/>
      <w:r w:rsidRPr="002B28E7">
        <w:t>RP-182878, “New WID on NR-based Access to Unlicensed Spectrum,” Qualcomm, RAN#82, December 2018.</w:t>
      </w:r>
    </w:p>
    <w:p w14:paraId="61B4946D" w14:textId="6B232A79" w:rsidR="00953262" w:rsidRPr="002B28E7" w:rsidRDefault="00953262" w:rsidP="00953262">
      <w:pPr>
        <w:pStyle w:val="Reference"/>
      </w:pPr>
      <w:bookmarkStart w:id="33" w:name="_Ref534117348"/>
      <w:r w:rsidRPr="002B28E7">
        <w:t>3GPP TR 38.889, “Study on NR-based access to unlicensed spectrum,” v16.0.0, December 2018.</w:t>
      </w:r>
      <w:bookmarkEnd w:id="33"/>
    </w:p>
    <w:p w14:paraId="38B36301" w14:textId="094D60DE" w:rsidR="00BE598B" w:rsidRPr="002B28E7" w:rsidRDefault="00EC5D3D" w:rsidP="00BE598B">
      <w:pPr>
        <w:pStyle w:val="Reference"/>
      </w:pPr>
      <w:bookmarkStart w:id="34" w:name="_Ref525666947"/>
      <w:bookmarkStart w:id="35" w:name="_Ref4753619"/>
      <w:bookmarkStart w:id="36" w:name="_Ref1136318"/>
      <w:r w:rsidRPr="002B28E7">
        <w:t>R1-1812026</w:t>
      </w:r>
      <w:r w:rsidR="00BE598B" w:rsidRPr="002B28E7">
        <w:t>, “</w:t>
      </w:r>
      <w:r w:rsidR="00BE598B" w:rsidRPr="002B28E7">
        <w:rPr>
          <w:lang w:eastAsia="x-none"/>
        </w:rPr>
        <w:t>LS on wideband carrier operation for NR-U</w:t>
      </w:r>
      <w:r w:rsidR="00BE598B" w:rsidRPr="002B28E7">
        <w:t>,” RAN1, RAN1#94b, October 2018.</w:t>
      </w:r>
      <w:bookmarkEnd w:id="34"/>
      <w:bookmarkEnd w:id="35"/>
    </w:p>
    <w:p w14:paraId="4DF55CC3" w14:textId="36390181" w:rsidR="00BE598B" w:rsidRPr="002B28E7" w:rsidRDefault="00BE598B" w:rsidP="00BE598B">
      <w:pPr>
        <w:pStyle w:val="Reference"/>
      </w:pPr>
      <w:bookmarkStart w:id="37" w:name="_Ref4754607"/>
      <w:r w:rsidRPr="002B28E7">
        <w:lastRenderedPageBreak/>
        <w:t>R1-1900008, “</w:t>
      </w:r>
      <w:bookmarkStart w:id="38" w:name="_Hlk503517020"/>
      <w:r w:rsidRPr="002B28E7">
        <w:rPr>
          <w:rFonts w:cs="Arial"/>
        </w:rPr>
        <w:t>Reply LS on wideband carrier operation for NR-U</w:t>
      </w:r>
      <w:bookmarkEnd w:id="38"/>
      <w:r w:rsidR="00492506" w:rsidRPr="002B28E7">
        <w:rPr>
          <w:rFonts w:cs="Arial"/>
        </w:rPr>
        <w:t>,” RAN4, RAN1#AH1901, January 2019.</w:t>
      </w:r>
      <w:bookmarkEnd w:id="37"/>
    </w:p>
    <w:p w14:paraId="33FC42FE" w14:textId="52514CBF" w:rsidR="00492506" w:rsidRPr="00EC42AB" w:rsidRDefault="00492506" w:rsidP="000962B9">
      <w:pPr>
        <w:pStyle w:val="Reference"/>
      </w:pPr>
      <w:bookmarkStart w:id="39" w:name="_Ref4755824"/>
      <w:bookmarkEnd w:id="29"/>
      <w:bookmarkEnd w:id="36"/>
      <w:r w:rsidRPr="002B28E7">
        <w:t>R1-1903845, “</w:t>
      </w:r>
      <w:r w:rsidRPr="002B28E7">
        <w:rPr>
          <w:rFonts w:cs="Arial"/>
        </w:rPr>
        <w:t>Reply LS on wideband carrier operation for NR-U,” RAN4, RAN1#96b, April 2019.</w:t>
      </w:r>
      <w:bookmarkEnd w:id="39"/>
    </w:p>
    <w:p w14:paraId="13FA23EA" w14:textId="468302B8" w:rsidR="00EC42AB" w:rsidRPr="002B28E7" w:rsidRDefault="00EC42AB" w:rsidP="000962B9">
      <w:pPr>
        <w:pStyle w:val="Reference"/>
      </w:pPr>
      <w:bookmarkStart w:id="40" w:name="_Ref16171115"/>
      <w:r>
        <w:t>R1-1905895, “</w:t>
      </w:r>
      <w:r w:rsidRPr="00EC42AB">
        <w:t>LS on UL wideband operation for NR-U</w:t>
      </w:r>
      <w:r>
        <w:t>,” RAN1, RAN1#96b, April 2019.</w:t>
      </w:r>
      <w:bookmarkEnd w:id="40"/>
    </w:p>
    <w:p w14:paraId="3A4703BD" w14:textId="20F1BE0A" w:rsidR="00EC42AB" w:rsidRPr="00246271" w:rsidRDefault="00891464" w:rsidP="00EC42AB">
      <w:pPr>
        <w:pStyle w:val="Reference"/>
      </w:pPr>
      <w:bookmarkStart w:id="41" w:name="_Ref7709648"/>
      <w:r w:rsidRPr="00246271">
        <w:t>R1-1905930, “</w:t>
      </w:r>
      <w:r w:rsidRPr="00246271">
        <w:rPr>
          <w:rFonts w:cs="Arial"/>
        </w:rPr>
        <w:t>LS reply on wideband carrier operation for NR-U,” RAN4, RAN1#97, May 2019.</w:t>
      </w:r>
      <w:bookmarkEnd w:id="41"/>
    </w:p>
    <w:p w14:paraId="75145714" w14:textId="4F863F01" w:rsidR="00246271" w:rsidRPr="00246271" w:rsidRDefault="00246271" w:rsidP="00246271">
      <w:pPr>
        <w:pStyle w:val="Reference"/>
      </w:pPr>
      <w:r w:rsidRPr="00246271">
        <w:t>R4-1906421, “</w:t>
      </w:r>
      <w:r w:rsidRPr="00246271">
        <w:rPr>
          <w:rFonts w:cs="Arial"/>
        </w:rPr>
        <w:t>Discussion on regulatory requirements for in-carrier leakage in NR-U,” Nokia, RAN4#91</w:t>
      </w:r>
      <w:r w:rsidRPr="00246271">
        <w:t>, May 2019.</w:t>
      </w:r>
    </w:p>
    <w:p w14:paraId="306333F1" w14:textId="2214D95E" w:rsidR="00A878B4" w:rsidRPr="00246271" w:rsidRDefault="00A878B4" w:rsidP="00CA0922">
      <w:pPr>
        <w:pStyle w:val="Reference"/>
      </w:pPr>
      <w:bookmarkStart w:id="42" w:name="_Ref16169766"/>
      <w:bookmarkEnd w:id="30"/>
      <w:bookmarkEnd w:id="31"/>
      <w:bookmarkEnd w:id="32"/>
      <w:r w:rsidRPr="00246271">
        <w:t>R1-1907458, “Wideband operation,” Ericsson, RAN1#97, May 2019.</w:t>
      </w:r>
      <w:bookmarkEnd w:id="42"/>
    </w:p>
    <w:p w14:paraId="6EDBB1A1" w14:textId="0D038D49" w:rsidR="00EC42AB" w:rsidRDefault="00EC42AB" w:rsidP="00A878B4">
      <w:pPr>
        <w:pStyle w:val="Reference"/>
      </w:pPr>
      <w:bookmarkStart w:id="43" w:name="_Ref16171605"/>
      <w:r w:rsidRPr="00EC42AB">
        <w:t xml:space="preserve">R4-1907850, </w:t>
      </w:r>
      <w:r w:rsidR="00246271">
        <w:t>“</w:t>
      </w:r>
      <w:r w:rsidR="00246271" w:rsidRPr="00246271">
        <w:t>LS to ETSI TC BRAN on Interpretations of EN 301 893 for NR-U</w:t>
      </w:r>
      <w:r w:rsidR="00246271">
        <w:t>,” RAN4, RAN4#91, May 2019.</w:t>
      </w:r>
      <w:bookmarkEnd w:id="43"/>
    </w:p>
    <w:p w14:paraId="5C4FF472" w14:textId="0BD93223" w:rsidR="00784AAF" w:rsidRDefault="00784AAF" w:rsidP="00784AAF">
      <w:pPr>
        <w:pStyle w:val="Reference"/>
      </w:pPr>
      <w:bookmarkStart w:id="44" w:name="_Ref7716718"/>
      <w:r w:rsidRPr="002B28E7">
        <w:t xml:space="preserve">R4-1900664, “BS requirements on wideband carrier operation for NR-U,” Huawei, RAN4#90, </w:t>
      </w:r>
      <w:proofErr w:type="spellStart"/>
      <w:r w:rsidRPr="002B28E7">
        <w:t>Februrary</w:t>
      </w:r>
      <w:proofErr w:type="spellEnd"/>
      <w:r w:rsidRPr="002B28E7">
        <w:t xml:space="preserve"> 2019.</w:t>
      </w:r>
      <w:bookmarkEnd w:id="44"/>
    </w:p>
    <w:p w14:paraId="50F9647D" w14:textId="5B9345CC" w:rsidR="005B28E4" w:rsidRDefault="005B28E4" w:rsidP="00A878B4">
      <w:pPr>
        <w:pStyle w:val="Reference"/>
      </w:pPr>
      <w:bookmarkStart w:id="45" w:name="_Ref16172201"/>
      <w:r>
        <w:t>RP-191581, “</w:t>
      </w:r>
      <w:r w:rsidRPr="003D3350">
        <w:rPr>
          <w:rFonts w:eastAsia="SimSun" w:cs="Arial"/>
          <w:bCs/>
        </w:rPr>
        <w:t>Guidance on essential functionality for NR-U</w:t>
      </w:r>
      <w:r>
        <w:rPr>
          <w:rFonts w:eastAsia="SimSun" w:cs="Arial"/>
          <w:bCs/>
        </w:rPr>
        <w:t>,</w:t>
      </w:r>
      <w:r>
        <w:t>” RAN, RAN#84, June 2019.</w:t>
      </w:r>
      <w:bookmarkEnd w:id="45"/>
    </w:p>
    <w:p w14:paraId="3BE996F3" w14:textId="62E29409" w:rsidR="00B14D49" w:rsidRPr="0084540C" w:rsidRDefault="00B14D49" w:rsidP="00A878B4">
      <w:pPr>
        <w:pStyle w:val="Reference"/>
      </w:pPr>
      <w:bookmarkStart w:id="46" w:name="_Ref16178072"/>
      <w:r w:rsidRPr="0084540C">
        <w:t>R1-19</w:t>
      </w:r>
      <w:r w:rsidR="0084540C" w:rsidRPr="0084540C">
        <w:t>09297</w:t>
      </w:r>
      <w:r w:rsidRPr="0084540C">
        <w:t>, “UL Signals and Channels,” Ericsson, RAN1#93, August 2019.</w:t>
      </w:r>
      <w:bookmarkEnd w:id="46"/>
    </w:p>
    <w:p w14:paraId="24A4AF92" w14:textId="2104969C" w:rsidR="000847D4" w:rsidRPr="0084540C" w:rsidRDefault="000847D4" w:rsidP="00A878B4">
      <w:pPr>
        <w:pStyle w:val="Reference"/>
      </w:pPr>
      <w:bookmarkStart w:id="47" w:name="_Ref16178041"/>
      <w:r w:rsidRPr="0084540C">
        <w:t>R4-19</w:t>
      </w:r>
      <w:r w:rsidR="0084540C" w:rsidRPr="0084540C">
        <w:t>09392</w:t>
      </w:r>
      <w:r w:rsidRPr="0084540C">
        <w:t xml:space="preserve">, </w:t>
      </w:r>
      <w:bookmarkEnd w:id="47"/>
      <w:r w:rsidR="0084540C" w:rsidRPr="0084540C">
        <w:t>“Channel raster design of Rel-16 NR-U for 5GHz band,” Ericsson, RAN4#92, August 2019</w:t>
      </w:r>
      <w:r w:rsidR="0084540C">
        <w:t>.</w:t>
      </w:r>
    </w:p>
    <w:sectPr w:rsidR="000847D4" w:rsidRPr="0084540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91EF7" w14:textId="77777777" w:rsidR="002C302D" w:rsidRDefault="002C302D">
      <w:r>
        <w:separator/>
      </w:r>
    </w:p>
  </w:endnote>
  <w:endnote w:type="continuationSeparator" w:id="0">
    <w:p w14:paraId="7E99D118" w14:textId="77777777" w:rsidR="002C302D" w:rsidRDefault="002C302D">
      <w:r>
        <w:continuationSeparator/>
      </w:r>
    </w:p>
  </w:endnote>
  <w:endnote w:type="continuationNotice" w:id="1">
    <w:p w14:paraId="4D7D2D99" w14:textId="77777777" w:rsidR="002C302D" w:rsidRDefault="002C3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2C302D" w:rsidRDefault="002C30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4C055" w14:textId="77777777" w:rsidR="002C302D" w:rsidRDefault="002C302D">
      <w:r>
        <w:separator/>
      </w:r>
    </w:p>
  </w:footnote>
  <w:footnote w:type="continuationSeparator" w:id="0">
    <w:p w14:paraId="07038052" w14:textId="77777777" w:rsidR="002C302D" w:rsidRDefault="002C302D">
      <w:r>
        <w:continuationSeparator/>
      </w:r>
    </w:p>
  </w:footnote>
  <w:footnote w:type="continuationNotice" w:id="1">
    <w:p w14:paraId="40E9E083" w14:textId="77777777" w:rsidR="002C302D" w:rsidRDefault="002C30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2C302D" w:rsidRDefault="002C302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0A5880"/>
    <w:multiLevelType w:val="hybridMultilevel"/>
    <w:tmpl w:val="630C3116"/>
    <w:lvl w:ilvl="0" w:tplc="59BABDC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40315"/>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A479BB"/>
    <w:multiLevelType w:val="multilevel"/>
    <w:tmpl w:val="8C5042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54D50AA"/>
    <w:multiLevelType w:val="hybridMultilevel"/>
    <w:tmpl w:val="2B7A5DAA"/>
    <w:lvl w:ilvl="0" w:tplc="3F04E9C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193E086C"/>
    <w:multiLevelType w:val="hybridMultilevel"/>
    <w:tmpl w:val="A0709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AD4FDE"/>
    <w:multiLevelType w:val="hybridMultilevel"/>
    <w:tmpl w:val="61706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5178B"/>
    <w:multiLevelType w:val="hybridMultilevel"/>
    <w:tmpl w:val="C538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E7A29D6"/>
    <w:multiLevelType w:val="hybridMultilevel"/>
    <w:tmpl w:val="AFD4EF6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04530"/>
    <w:multiLevelType w:val="hybridMultilevel"/>
    <w:tmpl w:val="2F843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93555D"/>
    <w:multiLevelType w:val="hybridMultilevel"/>
    <w:tmpl w:val="3C10BB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600A2A"/>
    <w:multiLevelType w:val="hybridMultilevel"/>
    <w:tmpl w:val="FEC8E18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43595E64"/>
    <w:multiLevelType w:val="hybridMultilevel"/>
    <w:tmpl w:val="B69AD2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AC481BE"/>
    <w:lvl w:ilvl="0" w:tplc="E5BACDD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E0C31"/>
    <w:multiLevelType w:val="hybridMultilevel"/>
    <w:tmpl w:val="EE3E7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DB22AF"/>
    <w:multiLevelType w:val="hybridMultilevel"/>
    <w:tmpl w:val="AB8C9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9F424B"/>
    <w:multiLevelType w:val="hybridMultilevel"/>
    <w:tmpl w:val="F58CB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164301"/>
    <w:multiLevelType w:val="hybridMultilevel"/>
    <w:tmpl w:val="8D625460"/>
    <w:lvl w:ilvl="0" w:tplc="0409000F">
      <w:start w:val="1"/>
      <w:numFmt w:val="decimal"/>
      <w:lvlText w:val="%1."/>
      <w:lvlJc w:val="left"/>
      <w:pPr>
        <w:ind w:left="760" w:hanging="360"/>
      </w:pPr>
      <w:rPr>
        <w:rFonts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D9170BE"/>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19"/>
  </w:num>
  <w:num w:numId="3">
    <w:abstractNumId w:val="0"/>
  </w:num>
  <w:num w:numId="4">
    <w:abstractNumId w:val="24"/>
  </w:num>
  <w:num w:numId="5">
    <w:abstractNumId w:val="26"/>
  </w:num>
  <w:num w:numId="6">
    <w:abstractNumId w:val="28"/>
  </w:num>
  <w:num w:numId="7">
    <w:abstractNumId w:val="10"/>
  </w:num>
  <w:num w:numId="8">
    <w:abstractNumId w:val="14"/>
  </w:num>
  <w:num w:numId="9">
    <w:abstractNumId w:val="4"/>
  </w:num>
  <w:num w:numId="10">
    <w:abstractNumId w:val="36"/>
  </w:num>
  <w:num w:numId="11">
    <w:abstractNumId w:val="17"/>
  </w:num>
  <w:num w:numId="12">
    <w:abstractNumId w:val="34"/>
  </w:num>
  <w:num w:numId="13">
    <w:abstractNumId w:val="33"/>
  </w:num>
  <w:num w:numId="14">
    <w:abstractNumId w:val="12"/>
  </w:num>
  <w:num w:numId="15">
    <w:abstractNumId w:val="15"/>
  </w:num>
  <w:num w:numId="16">
    <w:abstractNumId w:val="3"/>
  </w:num>
  <w:num w:numId="17">
    <w:abstractNumId w:val="31"/>
  </w:num>
  <w:num w:numId="18">
    <w:abstractNumId w:val="7"/>
  </w:num>
  <w:num w:numId="19">
    <w:abstractNumId w:val="20"/>
  </w:num>
  <w:num w:numId="20">
    <w:abstractNumId w:val="11"/>
  </w:num>
  <w:num w:numId="21">
    <w:abstractNumId w:val="8"/>
  </w:num>
  <w:num w:numId="22">
    <w:abstractNumId w:val="3"/>
  </w:num>
  <w:num w:numId="23">
    <w:abstractNumId w:val="37"/>
  </w:num>
  <w:num w:numId="24">
    <w:abstractNumId w:val="16"/>
  </w:num>
  <w:num w:numId="25">
    <w:abstractNumId w:val="18"/>
  </w:num>
  <w:num w:numId="26">
    <w:abstractNumId w:val="2"/>
  </w:num>
  <w:num w:numId="27">
    <w:abstractNumId w:val="30"/>
  </w:num>
  <w:num w:numId="28">
    <w:abstractNumId w:val="13"/>
  </w:num>
  <w:num w:numId="29">
    <w:abstractNumId w:val="25"/>
  </w:num>
  <w:num w:numId="30">
    <w:abstractNumId w:val="23"/>
  </w:num>
  <w:num w:numId="31">
    <w:abstractNumId w:val="1"/>
  </w:num>
  <w:num w:numId="32">
    <w:abstractNumId w:val="35"/>
  </w:num>
  <w:num w:numId="33">
    <w:abstractNumId w:val="24"/>
  </w:num>
  <w:num w:numId="34">
    <w:abstractNumId w:val="32"/>
  </w:num>
  <w:num w:numId="35">
    <w:abstractNumId w:val="9"/>
  </w:num>
  <w:num w:numId="36">
    <w:abstractNumId w:val="6"/>
  </w:num>
  <w:num w:numId="37">
    <w:abstractNumId w:val="21"/>
  </w:num>
  <w:num w:numId="38">
    <w:abstractNumId w:val="27"/>
  </w:num>
  <w:num w:numId="39">
    <w:abstractNumId w:val="38"/>
  </w:num>
  <w:num w:numId="40">
    <w:abstractNumId w:val="5"/>
  </w:num>
  <w:num w:numId="41">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473E"/>
    <w:rsid w:val="0000564C"/>
    <w:rsid w:val="00006446"/>
    <w:rsid w:val="00006896"/>
    <w:rsid w:val="00006DF2"/>
    <w:rsid w:val="0000706E"/>
    <w:rsid w:val="00007CDC"/>
    <w:rsid w:val="00010ABF"/>
    <w:rsid w:val="00011B28"/>
    <w:rsid w:val="00014218"/>
    <w:rsid w:val="00015D15"/>
    <w:rsid w:val="000163C0"/>
    <w:rsid w:val="000204C9"/>
    <w:rsid w:val="00023280"/>
    <w:rsid w:val="00023C28"/>
    <w:rsid w:val="0002564D"/>
    <w:rsid w:val="00025ECA"/>
    <w:rsid w:val="00025F54"/>
    <w:rsid w:val="0003110E"/>
    <w:rsid w:val="000325B8"/>
    <w:rsid w:val="00033FEE"/>
    <w:rsid w:val="00034C15"/>
    <w:rsid w:val="000353D6"/>
    <w:rsid w:val="00035BC4"/>
    <w:rsid w:val="000360D0"/>
    <w:rsid w:val="00036BA1"/>
    <w:rsid w:val="00041F8A"/>
    <w:rsid w:val="000422E2"/>
    <w:rsid w:val="00042686"/>
    <w:rsid w:val="00042F22"/>
    <w:rsid w:val="000444EF"/>
    <w:rsid w:val="0004455C"/>
    <w:rsid w:val="00052A07"/>
    <w:rsid w:val="000534E3"/>
    <w:rsid w:val="0005606A"/>
    <w:rsid w:val="00057117"/>
    <w:rsid w:val="000602FE"/>
    <w:rsid w:val="000616E7"/>
    <w:rsid w:val="0006321A"/>
    <w:rsid w:val="00063A58"/>
    <w:rsid w:val="00063CFC"/>
    <w:rsid w:val="0006487E"/>
    <w:rsid w:val="00065E1A"/>
    <w:rsid w:val="00067A0D"/>
    <w:rsid w:val="00070042"/>
    <w:rsid w:val="00071498"/>
    <w:rsid w:val="00074309"/>
    <w:rsid w:val="00075033"/>
    <w:rsid w:val="000751B6"/>
    <w:rsid w:val="00075E48"/>
    <w:rsid w:val="00076607"/>
    <w:rsid w:val="000766AF"/>
    <w:rsid w:val="00076742"/>
    <w:rsid w:val="00077E5F"/>
    <w:rsid w:val="0008036A"/>
    <w:rsid w:val="000803BB"/>
    <w:rsid w:val="00081AE6"/>
    <w:rsid w:val="0008266F"/>
    <w:rsid w:val="000830F9"/>
    <w:rsid w:val="000847D4"/>
    <w:rsid w:val="000855EB"/>
    <w:rsid w:val="00085A7A"/>
    <w:rsid w:val="00085B52"/>
    <w:rsid w:val="000866F2"/>
    <w:rsid w:val="0008764C"/>
    <w:rsid w:val="0009009F"/>
    <w:rsid w:val="00090844"/>
    <w:rsid w:val="00091557"/>
    <w:rsid w:val="000924C1"/>
    <w:rsid w:val="000924F0"/>
    <w:rsid w:val="00093474"/>
    <w:rsid w:val="0009510F"/>
    <w:rsid w:val="000962B9"/>
    <w:rsid w:val="000966BE"/>
    <w:rsid w:val="000A1264"/>
    <w:rsid w:val="000A1B7B"/>
    <w:rsid w:val="000A3FD3"/>
    <w:rsid w:val="000A406D"/>
    <w:rsid w:val="000A42E5"/>
    <w:rsid w:val="000A4333"/>
    <w:rsid w:val="000A514D"/>
    <w:rsid w:val="000A51A4"/>
    <w:rsid w:val="000A56F2"/>
    <w:rsid w:val="000A6E76"/>
    <w:rsid w:val="000A7245"/>
    <w:rsid w:val="000B2719"/>
    <w:rsid w:val="000B3A8F"/>
    <w:rsid w:val="000B4AB9"/>
    <w:rsid w:val="000B4CC1"/>
    <w:rsid w:val="000B4D31"/>
    <w:rsid w:val="000B58C3"/>
    <w:rsid w:val="000B5FD0"/>
    <w:rsid w:val="000B61E9"/>
    <w:rsid w:val="000B7361"/>
    <w:rsid w:val="000C165A"/>
    <w:rsid w:val="000C1DA7"/>
    <w:rsid w:val="000C2202"/>
    <w:rsid w:val="000C2E19"/>
    <w:rsid w:val="000C35BD"/>
    <w:rsid w:val="000C4202"/>
    <w:rsid w:val="000C4668"/>
    <w:rsid w:val="000D0A6E"/>
    <w:rsid w:val="000D0D07"/>
    <w:rsid w:val="000D3500"/>
    <w:rsid w:val="000D4797"/>
    <w:rsid w:val="000D6CB6"/>
    <w:rsid w:val="000D773D"/>
    <w:rsid w:val="000E0527"/>
    <w:rsid w:val="000E1E92"/>
    <w:rsid w:val="000E2386"/>
    <w:rsid w:val="000E3353"/>
    <w:rsid w:val="000E49B6"/>
    <w:rsid w:val="000F06D6"/>
    <w:rsid w:val="000F0EB1"/>
    <w:rsid w:val="000F1106"/>
    <w:rsid w:val="000F19FC"/>
    <w:rsid w:val="000F2618"/>
    <w:rsid w:val="000F2FA5"/>
    <w:rsid w:val="000F3BE9"/>
    <w:rsid w:val="000F3F09"/>
    <w:rsid w:val="000F3F6C"/>
    <w:rsid w:val="000F6DF3"/>
    <w:rsid w:val="000F7251"/>
    <w:rsid w:val="000F7419"/>
    <w:rsid w:val="001005FF"/>
    <w:rsid w:val="00101C56"/>
    <w:rsid w:val="001023EF"/>
    <w:rsid w:val="00104BB1"/>
    <w:rsid w:val="00104DC8"/>
    <w:rsid w:val="00104F43"/>
    <w:rsid w:val="001062FB"/>
    <w:rsid w:val="001063E6"/>
    <w:rsid w:val="00112EA7"/>
    <w:rsid w:val="00113CF4"/>
    <w:rsid w:val="00114814"/>
    <w:rsid w:val="001153EA"/>
    <w:rsid w:val="00115643"/>
    <w:rsid w:val="00116765"/>
    <w:rsid w:val="00120464"/>
    <w:rsid w:val="001219F5"/>
    <w:rsid w:val="00121A20"/>
    <w:rsid w:val="00121CC8"/>
    <w:rsid w:val="0012377F"/>
    <w:rsid w:val="00124314"/>
    <w:rsid w:val="0012696F"/>
    <w:rsid w:val="00126B4A"/>
    <w:rsid w:val="00126C7B"/>
    <w:rsid w:val="00131B51"/>
    <w:rsid w:val="00132FD0"/>
    <w:rsid w:val="00133611"/>
    <w:rsid w:val="001344C0"/>
    <w:rsid w:val="001346FA"/>
    <w:rsid w:val="00135252"/>
    <w:rsid w:val="001375E5"/>
    <w:rsid w:val="00137AB5"/>
    <w:rsid w:val="00137F0B"/>
    <w:rsid w:val="00146C69"/>
    <w:rsid w:val="00151554"/>
    <w:rsid w:val="00151D01"/>
    <w:rsid w:val="00151E23"/>
    <w:rsid w:val="001526E0"/>
    <w:rsid w:val="001551B5"/>
    <w:rsid w:val="00156966"/>
    <w:rsid w:val="00157BA8"/>
    <w:rsid w:val="0016143D"/>
    <w:rsid w:val="00163401"/>
    <w:rsid w:val="001659C1"/>
    <w:rsid w:val="00166607"/>
    <w:rsid w:val="00166DFB"/>
    <w:rsid w:val="001700E9"/>
    <w:rsid w:val="00170FF5"/>
    <w:rsid w:val="00172C7A"/>
    <w:rsid w:val="00172FDA"/>
    <w:rsid w:val="00173A8E"/>
    <w:rsid w:val="00173FE0"/>
    <w:rsid w:val="001747B9"/>
    <w:rsid w:val="0017502C"/>
    <w:rsid w:val="00180A6A"/>
    <w:rsid w:val="0018143F"/>
    <w:rsid w:val="00181AC7"/>
    <w:rsid w:val="00181CF9"/>
    <w:rsid w:val="00181FF8"/>
    <w:rsid w:val="001821BD"/>
    <w:rsid w:val="00183C9B"/>
    <w:rsid w:val="00184922"/>
    <w:rsid w:val="00186E12"/>
    <w:rsid w:val="001900E3"/>
    <w:rsid w:val="00190AC1"/>
    <w:rsid w:val="0019314C"/>
    <w:rsid w:val="0019341A"/>
    <w:rsid w:val="00194E3D"/>
    <w:rsid w:val="00195C4B"/>
    <w:rsid w:val="001960A1"/>
    <w:rsid w:val="0019625E"/>
    <w:rsid w:val="00197DF9"/>
    <w:rsid w:val="001A11F9"/>
    <w:rsid w:val="001A1987"/>
    <w:rsid w:val="001A1EE8"/>
    <w:rsid w:val="001A2564"/>
    <w:rsid w:val="001A42EA"/>
    <w:rsid w:val="001A47A8"/>
    <w:rsid w:val="001A6173"/>
    <w:rsid w:val="001A6CBA"/>
    <w:rsid w:val="001B0387"/>
    <w:rsid w:val="001B07CA"/>
    <w:rsid w:val="001B0D97"/>
    <w:rsid w:val="001B1C62"/>
    <w:rsid w:val="001B354F"/>
    <w:rsid w:val="001B5A5D"/>
    <w:rsid w:val="001C0AA9"/>
    <w:rsid w:val="001C1781"/>
    <w:rsid w:val="001C196F"/>
    <w:rsid w:val="001C1A81"/>
    <w:rsid w:val="001C1CE5"/>
    <w:rsid w:val="001C28BA"/>
    <w:rsid w:val="001C37F1"/>
    <w:rsid w:val="001C3D2A"/>
    <w:rsid w:val="001C737F"/>
    <w:rsid w:val="001C7CFA"/>
    <w:rsid w:val="001D0BE3"/>
    <w:rsid w:val="001D4670"/>
    <w:rsid w:val="001D47A9"/>
    <w:rsid w:val="001D51BA"/>
    <w:rsid w:val="001D53E7"/>
    <w:rsid w:val="001D6342"/>
    <w:rsid w:val="001D6D53"/>
    <w:rsid w:val="001D7431"/>
    <w:rsid w:val="001E26CC"/>
    <w:rsid w:val="001E2838"/>
    <w:rsid w:val="001E4200"/>
    <w:rsid w:val="001E58E2"/>
    <w:rsid w:val="001E7AED"/>
    <w:rsid w:val="001E7E83"/>
    <w:rsid w:val="001F010E"/>
    <w:rsid w:val="001F0FA7"/>
    <w:rsid w:val="001F1766"/>
    <w:rsid w:val="001F1F89"/>
    <w:rsid w:val="001F20E5"/>
    <w:rsid w:val="001F3916"/>
    <w:rsid w:val="001F54C5"/>
    <w:rsid w:val="001F574E"/>
    <w:rsid w:val="001F6429"/>
    <w:rsid w:val="001F662C"/>
    <w:rsid w:val="001F7074"/>
    <w:rsid w:val="001F7FB1"/>
    <w:rsid w:val="00200490"/>
    <w:rsid w:val="002015BF"/>
    <w:rsid w:val="00201F3A"/>
    <w:rsid w:val="00203C6A"/>
    <w:rsid w:val="00203F96"/>
    <w:rsid w:val="002060F0"/>
    <w:rsid w:val="0020666F"/>
    <w:rsid w:val="00206759"/>
    <w:rsid w:val="002069B2"/>
    <w:rsid w:val="00207FA3"/>
    <w:rsid w:val="00213244"/>
    <w:rsid w:val="002133A3"/>
    <w:rsid w:val="00213C15"/>
    <w:rsid w:val="00214023"/>
    <w:rsid w:val="00214DA8"/>
    <w:rsid w:val="00215423"/>
    <w:rsid w:val="002158FA"/>
    <w:rsid w:val="00215B3D"/>
    <w:rsid w:val="0021716B"/>
    <w:rsid w:val="00220600"/>
    <w:rsid w:val="00220BBF"/>
    <w:rsid w:val="00221C73"/>
    <w:rsid w:val="002224DB"/>
    <w:rsid w:val="00223D99"/>
    <w:rsid w:val="00223FCB"/>
    <w:rsid w:val="002249A0"/>
    <w:rsid w:val="002252C3"/>
    <w:rsid w:val="002258CC"/>
    <w:rsid w:val="00225C54"/>
    <w:rsid w:val="00230765"/>
    <w:rsid w:val="00230D18"/>
    <w:rsid w:val="002319E4"/>
    <w:rsid w:val="00232FAF"/>
    <w:rsid w:val="00233E9C"/>
    <w:rsid w:val="00235632"/>
    <w:rsid w:val="00235872"/>
    <w:rsid w:val="00241559"/>
    <w:rsid w:val="002435B3"/>
    <w:rsid w:val="00243E7D"/>
    <w:rsid w:val="002458EB"/>
    <w:rsid w:val="00246271"/>
    <w:rsid w:val="002475BF"/>
    <w:rsid w:val="002500C8"/>
    <w:rsid w:val="002521E3"/>
    <w:rsid w:val="00257543"/>
    <w:rsid w:val="00257EC4"/>
    <w:rsid w:val="002604B8"/>
    <w:rsid w:val="002617E7"/>
    <w:rsid w:val="00262210"/>
    <w:rsid w:val="00262B6C"/>
    <w:rsid w:val="00263A7D"/>
    <w:rsid w:val="00264228"/>
    <w:rsid w:val="00264334"/>
    <w:rsid w:val="0026473E"/>
    <w:rsid w:val="00264D08"/>
    <w:rsid w:val="00265EB3"/>
    <w:rsid w:val="00266214"/>
    <w:rsid w:val="00267794"/>
    <w:rsid w:val="00267C0B"/>
    <w:rsid w:val="00267C83"/>
    <w:rsid w:val="00267E63"/>
    <w:rsid w:val="00270242"/>
    <w:rsid w:val="00270E64"/>
    <w:rsid w:val="0027144F"/>
    <w:rsid w:val="00271813"/>
    <w:rsid w:val="00271F3A"/>
    <w:rsid w:val="00272093"/>
    <w:rsid w:val="00273278"/>
    <w:rsid w:val="002737F4"/>
    <w:rsid w:val="002747D4"/>
    <w:rsid w:val="0027491E"/>
    <w:rsid w:val="002805F5"/>
    <w:rsid w:val="00280751"/>
    <w:rsid w:val="00281A53"/>
    <w:rsid w:val="0028280A"/>
    <w:rsid w:val="00286ACD"/>
    <w:rsid w:val="00286FFD"/>
    <w:rsid w:val="00287838"/>
    <w:rsid w:val="002878F6"/>
    <w:rsid w:val="00287FE4"/>
    <w:rsid w:val="002905FB"/>
    <w:rsid w:val="002907B5"/>
    <w:rsid w:val="00291A32"/>
    <w:rsid w:val="00291B3A"/>
    <w:rsid w:val="00292EB7"/>
    <w:rsid w:val="00295378"/>
    <w:rsid w:val="00296227"/>
    <w:rsid w:val="00296F44"/>
    <w:rsid w:val="002971B2"/>
    <w:rsid w:val="0029777D"/>
    <w:rsid w:val="002A055E"/>
    <w:rsid w:val="002A1507"/>
    <w:rsid w:val="002A1D4E"/>
    <w:rsid w:val="002A2869"/>
    <w:rsid w:val="002A33AB"/>
    <w:rsid w:val="002A4EC2"/>
    <w:rsid w:val="002A74D5"/>
    <w:rsid w:val="002A7D27"/>
    <w:rsid w:val="002B24D6"/>
    <w:rsid w:val="002B28E7"/>
    <w:rsid w:val="002B46C3"/>
    <w:rsid w:val="002B4EAB"/>
    <w:rsid w:val="002B69A0"/>
    <w:rsid w:val="002B78E7"/>
    <w:rsid w:val="002C27AA"/>
    <w:rsid w:val="002C302D"/>
    <w:rsid w:val="002C41E6"/>
    <w:rsid w:val="002C4984"/>
    <w:rsid w:val="002C5771"/>
    <w:rsid w:val="002C644B"/>
    <w:rsid w:val="002D071A"/>
    <w:rsid w:val="002D26DD"/>
    <w:rsid w:val="002D34B2"/>
    <w:rsid w:val="002D48B0"/>
    <w:rsid w:val="002D57BE"/>
    <w:rsid w:val="002D5B37"/>
    <w:rsid w:val="002D7637"/>
    <w:rsid w:val="002E111C"/>
    <w:rsid w:val="002E17F2"/>
    <w:rsid w:val="002E18B7"/>
    <w:rsid w:val="002E2BD2"/>
    <w:rsid w:val="002E4632"/>
    <w:rsid w:val="002E7811"/>
    <w:rsid w:val="002E7CAE"/>
    <w:rsid w:val="002F0F4D"/>
    <w:rsid w:val="002F229F"/>
    <w:rsid w:val="002F2613"/>
    <w:rsid w:val="002F271F"/>
    <w:rsid w:val="002F2771"/>
    <w:rsid w:val="002F37A9"/>
    <w:rsid w:val="002F4C29"/>
    <w:rsid w:val="002F65F4"/>
    <w:rsid w:val="003017C9"/>
    <w:rsid w:val="00301B53"/>
    <w:rsid w:val="00301CE6"/>
    <w:rsid w:val="0030256B"/>
    <w:rsid w:val="003035E0"/>
    <w:rsid w:val="00304F3F"/>
    <w:rsid w:val="0030501F"/>
    <w:rsid w:val="00307BA1"/>
    <w:rsid w:val="00307DC8"/>
    <w:rsid w:val="00311702"/>
    <w:rsid w:val="00311E82"/>
    <w:rsid w:val="00312FD9"/>
    <w:rsid w:val="00313A13"/>
    <w:rsid w:val="00313FD6"/>
    <w:rsid w:val="003143BD"/>
    <w:rsid w:val="00314C73"/>
    <w:rsid w:val="00315081"/>
    <w:rsid w:val="003150FA"/>
    <w:rsid w:val="00315363"/>
    <w:rsid w:val="003203ED"/>
    <w:rsid w:val="00322C9F"/>
    <w:rsid w:val="00323B65"/>
    <w:rsid w:val="00324D23"/>
    <w:rsid w:val="00325BD3"/>
    <w:rsid w:val="00326529"/>
    <w:rsid w:val="00327AB2"/>
    <w:rsid w:val="003302F0"/>
    <w:rsid w:val="00330FC6"/>
    <w:rsid w:val="00331751"/>
    <w:rsid w:val="003318FB"/>
    <w:rsid w:val="00333690"/>
    <w:rsid w:val="00334579"/>
    <w:rsid w:val="00335858"/>
    <w:rsid w:val="003358D9"/>
    <w:rsid w:val="00336A31"/>
    <w:rsid w:val="00336BDA"/>
    <w:rsid w:val="003379F4"/>
    <w:rsid w:val="003400F9"/>
    <w:rsid w:val="0034108E"/>
    <w:rsid w:val="003417B9"/>
    <w:rsid w:val="00341F16"/>
    <w:rsid w:val="00342BD7"/>
    <w:rsid w:val="00345AE8"/>
    <w:rsid w:val="00346DB5"/>
    <w:rsid w:val="003477B1"/>
    <w:rsid w:val="003505BA"/>
    <w:rsid w:val="00351902"/>
    <w:rsid w:val="0035395A"/>
    <w:rsid w:val="00353C6D"/>
    <w:rsid w:val="00357380"/>
    <w:rsid w:val="00357A96"/>
    <w:rsid w:val="003602D9"/>
    <w:rsid w:val="003604CE"/>
    <w:rsid w:val="00367B68"/>
    <w:rsid w:val="0037078A"/>
    <w:rsid w:val="00370E47"/>
    <w:rsid w:val="0037230A"/>
    <w:rsid w:val="00372996"/>
    <w:rsid w:val="00372F7E"/>
    <w:rsid w:val="003742AC"/>
    <w:rsid w:val="00375336"/>
    <w:rsid w:val="00377A31"/>
    <w:rsid w:val="00377CE1"/>
    <w:rsid w:val="003815B5"/>
    <w:rsid w:val="00384667"/>
    <w:rsid w:val="00385BF0"/>
    <w:rsid w:val="0039158D"/>
    <w:rsid w:val="003939FF"/>
    <w:rsid w:val="003A01AD"/>
    <w:rsid w:val="003A1543"/>
    <w:rsid w:val="003A2223"/>
    <w:rsid w:val="003A28B8"/>
    <w:rsid w:val="003A2A0F"/>
    <w:rsid w:val="003A4425"/>
    <w:rsid w:val="003A45A1"/>
    <w:rsid w:val="003A4D0B"/>
    <w:rsid w:val="003A5B0A"/>
    <w:rsid w:val="003A5FBE"/>
    <w:rsid w:val="003A689D"/>
    <w:rsid w:val="003A6BAC"/>
    <w:rsid w:val="003A6E90"/>
    <w:rsid w:val="003A70A4"/>
    <w:rsid w:val="003A7EF3"/>
    <w:rsid w:val="003B0AA7"/>
    <w:rsid w:val="003B0D43"/>
    <w:rsid w:val="003B159C"/>
    <w:rsid w:val="003B2CF7"/>
    <w:rsid w:val="003B369F"/>
    <w:rsid w:val="003B36A3"/>
    <w:rsid w:val="003B37D3"/>
    <w:rsid w:val="003B4630"/>
    <w:rsid w:val="003B4DD8"/>
    <w:rsid w:val="003B64BB"/>
    <w:rsid w:val="003B721B"/>
    <w:rsid w:val="003B7FE5"/>
    <w:rsid w:val="003C08E3"/>
    <w:rsid w:val="003C11C8"/>
    <w:rsid w:val="003C19B9"/>
    <w:rsid w:val="003C2702"/>
    <w:rsid w:val="003C3726"/>
    <w:rsid w:val="003C4F93"/>
    <w:rsid w:val="003C7806"/>
    <w:rsid w:val="003D109F"/>
    <w:rsid w:val="003D1DDC"/>
    <w:rsid w:val="003D2478"/>
    <w:rsid w:val="003D2D90"/>
    <w:rsid w:val="003D3C45"/>
    <w:rsid w:val="003D5B1F"/>
    <w:rsid w:val="003E15FA"/>
    <w:rsid w:val="003E3610"/>
    <w:rsid w:val="003E55E4"/>
    <w:rsid w:val="003E5A5C"/>
    <w:rsid w:val="003E6DE1"/>
    <w:rsid w:val="003E74E3"/>
    <w:rsid w:val="003F05C7"/>
    <w:rsid w:val="003F1B6C"/>
    <w:rsid w:val="003F2BF3"/>
    <w:rsid w:val="003F2CD4"/>
    <w:rsid w:val="003F490B"/>
    <w:rsid w:val="003F4C2C"/>
    <w:rsid w:val="003F6BBE"/>
    <w:rsid w:val="004000E8"/>
    <w:rsid w:val="004003FF"/>
    <w:rsid w:val="00402E2B"/>
    <w:rsid w:val="00403CC6"/>
    <w:rsid w:val="0040512B"/>
    <w:rsid w:val="00405CA5"/>
    <w:rsid w:val="0040744A"/>
    <w:rsid w:val="00407CD3"/>
    <w:rsid w:val="00410134"/>
    <w:rsid w:val="00410B72"/>
    <w:rsid w:val="00410F18"/>
    <w:rsid w:val="00411B2A"/>
    <w:rsid w:val="0041263E"/>
    <w:rsid w:val="00413AAC"/>
    <w:rsid w:val="00413E92"/>
    <w:rsid w:val="00417A70"/>
    <w:rsid w:val="00421105"/>
    <w:rsid w:val="0042122C"/>
    <w:rsid w:val="00421245"/>
    <w:rsid w:val="0042196D"/>
    <w:rsid w:val="00422AA4"/>
    <w:rsid w:val="004232B9"/>
    <w:rsid w:val="00423A87"/>
    <w:rsid w:val="00423DBE"/>
    <w:rsid w:val="004242F4"/>
    <w:rsid w:val="004247CC"/>
    <w:rsid w:val="00425DD1"/>
    <w:rsid w:val="00426C39"/>
    <w:rsid w:val="00427248"/>
    <w:rsid w:val="004307E1"/>
    <w:rsid w:val="00430D8F"/>
    <w:rsid w:val="00434F70"/>
    <w:rsid w:val="00437447"/>
    <w:rsid w:val="00441019"/>
    <w:rsid w:val="00441A92"/>
    <w:rsid w:val="004431DC"/>
    <w:rsid w:val="00444F56"/>
    <w:rsid w:val="004460FB"/>
    <w:rsid w:val="00446488"/>
    <w:rsid w:val="00446710"/>
    <w:rsid w:val="00447DA0"/>
    <w:rsid w:val="004517AA"/>
    <w:rsid w:val="004526DA"/>
    <w:rsid w:val="00452CAC"/>
    <w:rsid w:val="004536E8"/>
    <w:rsid w:val="00455799"/>
    <w:rsid w:val="00456A68"/>
    <w:rsid w:val="004572DE"/>
    <w:rsid w:val="00457565"/>
    <w:rsid w:val="00457B71"/>
    <w:rsid w:val="00462285"/>
    <w:rsid w:val="004627DE"/>
    <w:rsid w:val="00462880"/>
    <w:rsid w:val="004643EF"/>
    <w:rsid w:val="00465C4A"/>
    <w:rsid w:val="00465CEA"/>
    <w:rsid w:val="004669E2"/>
    <w:rsid w:val="00466DA3"/>
    <w:rsid w:val="00470C31"/>
    <w:rsid w:val="004714B6"/>
    <w:rsid w:val="004718CA"/>
    <w:rsid w:val="00471DE0"/>
    <w:rsid w:val="0047254C"/>
    <w:rsid w:val="004729F8"/>
    <w:rsid w:val="004734D0"/>
    <w:rsid w:val="0047556B"/>
    <w:rsid w:val="00476AF8"/>
    <w:rsid w:val="00477768"/>
    <w:rsid w:val="00477C74"/>
    <w:rsid w:val="004843BD"/>
    <w:rsid w:val="0048585C"/>
    <w:rsid w:val="00486E94"/>
    <w:rsid w:val="004918DC"/>
    <w:rsid w:val="00492506"/>
    <w:rsid w:val="00492BC5"/>
    <w:rsid w:val="00495F25"/>
    <w:rsid w:val="004964F1"/>
    <w:rsid w:val="00497CCB"/>
    <w:rsid w:val="004A0F0C"/>
    <w:rsid w:val="004A128C"/>
    <w:rsid w:val="004A130E"/>
    <w:rsid w:val="004A16BC"/>
    <w:rsid w:val="004A2B94"/>
    <w:rsid w:val="004A2BED"/>
    <w:rsid w:val="004A3521"/>
    <w:rsid w:val="004A3C56"/>
    <w:rsid w:val="004A4953"/>
    <w:rsid w:val="004A55E5"/>
    <w:rsid w:val="004A7240"/>
    <w:rsid w:val="004B2A69"/>
    <w:rsid w:val="004B580C"/>
    <w:rsid w:val="004B6F6A"/>
    <w:rsid w:val="004B7C0C"/>
    <w:rsid w:val="004C1D75"/>
    <w:rsid w:val="004C3711"/>
    <w:rsid w:val="004C3898"/>
    <w:rsid w:val="004C53EF"/>
    <w:rsid w:val="004C61D8"/>
    <w:rsid w:val="004C6B66"/>
    <w:rsid w:val="004D114E"/>
    <w:rsid w:val="004D36B1"/>
    <w:rsid w:val="004D7EBD"/>
    <w:rsid w:val="004E2680"/>
    <w:rsid w:val="004E28F9"/>
    <w:rsid w:val="004E308F"/>
    <w:rsid w:val="004E3838"/>
    <w:rsid w:val="004E3A63"/>
    <w:rsid w:val="004E462E"/>
    <w:rsid w:val="004E52A9"/>
    <w:rsid w:val="004E56DC"/>
    <w:rsid w:val="004E572B"/>
    <w:rsid w:val="004E76F4"/>
    <w:rsid w:val="004F0B4E"/>
    <w:rsid w:val="004F0B6C"/>
    <w:rsid w:val="004F140F"/>
    <w:rsid w:val="004F2078"/>
    <w:rsid w:val="004F3ED1"/>
    <w:rsid w:val="004F4DA3"/>
    <w:rsid w:val="00501C1D"/>
    <w:rsid w:val="00506557"/>
    <w:rsid w:val="0050677A"/>
    <w:rsid w:val="005108D8"/>
    <w:rsid w:val="005116F9"/>
    <w:rsid w:val="00512A25"/>
    <w:rsid w:val="005153A7"/>
    <w:rsid w:val="00517B0B"/>
    <w:rsid w:val="00521341"/>
    <w:rsid w:val="005219CF"/>
    <w:rsid w:val="0053257E"/>
    <w:rsid w:val="00534B59"/>
    <w:rsid w:val="00536759"/>
    <w:rsid w:val="00537058"/>
    <w:rsid w:val="00537C62"/>
    <w:rsid w:val="00545617"/>
    <w:rsid w:val="00546970"/>
    <w:rsid w:val="00546F8C"/>
    <w:rsid w:val="0054717B"/>
    <w:rsid w:val="0055087F"/>
    <w:rsid w:val="0055129A"/>
    <w:rsid w:val="005530DD"/>
    <w:rsid w:val="00554961"/>
    <w:rsid w:val="00554E19"/>
    <w:rsid w:val="0055647C"/>
    <w:rsid w:val="00556711"/>
    <w:rsid w:val="00557DFB"/>
    <w:rsid w:val="0056121F"/>
    <w:rsid w:val="00562C12"/>
    <w:rsid w:val="005631B4"/>
    <w:rsid w:val="005633D6"/>
    <w:rsid w:val="00563D70"/>
    <w:rsid w:val="00570782"/>
    <w:rsid w:val="00572505"/>
    <w:rsid w:val="0057299E"/>
    <w:rsid w:val="00577757"/>
    <w:rsid w:val="00577C91"/>
    <w:rsid w:val="005802B4"/>
    <w:rsid w:val="00581F29"/>
    <w:rsid w:val="00582809"/>
    <w:rsid w:val="0058332D"/>
    <w:rsid w:val="005867DE"/>
    <w:rsid w:val="0058798C"/>
    <w:rsid w:val="005900FA"/>
    <w:rsid w:val="005901FD"/>
    <w:rsid w:val="0059049B"/>
    <w:rsid w:val="005935A4"/>
    <w:rsid w:val="00593A40"/>
    <w:rsid w:val="00594780"/>
    <w:rsid w:val="005948C2"/>
    <w:rsid w:val="00595DCA"/>
    <w:rsid w:val="00595F2E"/>
    <w:rsid w:val="005968D0"/>
    <w:rsid w:val="0059729E"/>
    <w:rsid w:val="0059779B"/>
    <w:rsid w:val="005A053C"/>
    <w:rsid w:val="005A1DE5"/>
    <w:rsid w:val="005A1FAD"/>
    <w:rsid w:val="005A209A"/>
    <w:rsid w:val="005A37C7"/>
    <w:rsid w:val="005A48FF"/>
    <w:rsid w:val="005A662D"/>
    <w:rsid w:val="005A7CC0"/>
    <w:rsid w:val="005B03D4"/>
    <w:rsid w:val="005B1409"/>
    <w:rsid w:val="005B1CAE"/>
    <w:rsid w:val="005B28E4"/>
    <w:rsid w:val="005B35D7"/>
    <w:rsid w:val="005B392A"/>
    <w:rsid w:val="005B3AA3"/>
    <w:rsid w:val="005B4690"/>
    <w:rsid w:val="005B5465"/>
    <w:rsid w:val="005B6058"/>
    <w:rsid w:val="005B6F83"/>
    <w:rsid w:val="005B7B9E"/>
    <w:rsid w:val="005B7CBE"/>
    <w:rsid w:val="005C0132"/>
    <w:rsid w:val="005C0AE6"/>
    <w:rsid w:val="005C27EB"/>
    <w:rsid w:val="005C2F0A"/>
    <w:rsid w:val="005C4545"/>
    <w:rsid w:val="005C74FB"/>
    <w:rsid w:val="005D1602"/>
    <w:rsid w:val="005D1E04"/>
    <w:rsid w:val="005E076B"/>
    <w:rsid w:val="005E2171"/>
    <w:rsid w:val="005E385F"/>
    <w:rsid w:val="005E59F7"/>
    <w:rsid w:val="005E5B81"/>
    <w:rsid w:val="005E66D9"/>
    <w:rsid w:val="005F0D68"/>
    <w:rsid w:val="005F2550"/>
    <w:rsid w:val="005F2CB1"/>
    <w:rsid w:val="005F3025"/>
    <w:rsid w:val="005F618C"/>
    <w:rsid w:val="005F70BD"/>
    <w:rsid w:val="005F746C"/>
    <w:rsid w:val="006001F6"/>
    <w:rsid w:val="0060283C"/>
    <w:rsid w:val="00604F14"/>
    <w:rsid w:val="00605146"/>
    <w:rsid w:val="00611B83"/>
    <w:rsid w:val="00613257"/>
    <w:rsid w:val="00613F09"/>
    <w:rsid w:val="00614E66"/>
    <w:rsid w:val="00616AD6"/>
    <w:rsid w:val="00620203"/>
    <w:rsid w:val="00620A71"/>
    <w:rsid w:val="00620D80"/>
    <w:rsid w:val="00622EEA"/>
    <w:rsid w:val="00622FF2"/>
    <w:rsid w:val="006234A6"/>
    <w:rsid w:val="00624E05"/>
    <w:rsid w:val="00630001"/>
    <w:rsid w:val="006311B3"/>
    <w:rsid w:val="0063244A"/>
    <w:rsid w:val="00632823"/>
    <w:rsid w:val="0063284C"/>
    <w:rsid w:val="00635DF2"/>
    <w:rsid w:val="00636398"/>
    <w:rsid w:val="006368D3"/>
    <w:rsid w:val="0063773D"/>
    <w:rsid w:val="006377EC"/>
    <w:rsid w:val="0064151F"/>
    <w:rsid w:val="00641533"/>
    <w:rsid w:val="006416FE"/>
    <w:rsid w:val="0064208D"/>
    <w:rsid w:val="00643475"/>
    <w:rsid w:val="0064396A"/>
    <w:rsid w:val="00643DDE"/>
    <w:rsid w:val="00645671"/>
    <w:rsid w:val="0064569D"/>
    <w:rsid w:val="0064622C"/>
    <w:rsid w:val="0064624E"/>
    <w:rsid w:val="006469B3"/>
    <w:rsid w:val="00650AB9"/>
    <w:rsid w:val="006523C0"/>
    <w:rsid w:val="00652480"/>
    <w:rsid w:val="00653909"/>
    <w:rsid w:val="006556DB"/>
    <w:rsid w:val="00655733"/>
    <w:rsid w:val="00655ACD"/>
    <w:rsid w:val="006569D0"/>
    <w:rsid w:val="00656A92"/>
    <w:rsid w:val="00656DDE"/>
    <w:rsid w:val="0065753D"/>
    <w:rsid w:val="006578AF"/>
    <w:rsid w:val="0066011D"/>
    <w:rsid w:val="006607C0"/>
    <w:rsid w:val="006613A6"/>
    <w:rsid w:val="00661ACB"/>
    <w:rsid w:val="006627A2"/>
    <w:rsid w:val="006634E6"/>
    <w:rsid w:val="00664C1A"/>
    <w:rsid w:val="00664E50"/>
    <w:rsid w:val="006655EE"/>
    <w:rsid w:val="00665E53"/>
    <w:rsid w:val="00666BE8"/>
    <w:rsid w:val="00667041"/>
    <w:rsid w:val="00667550"/>
    <w:rsid w:val="00667EE7"/>
    <w:rsid w:val="00670922"/>
    <w:rsid w:val="00670BE1"/>
    <w:rsid w:val="00671EDD"/>
    <w:rsid w:val="0067218F"/>
    <w:rsid w:val="006721E3"/>
    <w:rsid w:val="006741F2"/>
    <w:rsid w:val="006743B0"/>
    <w:rsid w:val="00674CC3"/>
    <w:rsid w:val="00675C72"/>
    <w:rsid w:val="0067702C"/>
    <w:rsid w:val="006771F9"/>
    <w:rsid w:val="006776D7"/>
    <w:rsid w:val="00681003"/>
    <w:rsid w:val="006817C9"/>
    <w:rsid w:val="00683184"/>
    <w:rsid w:val="00683ECE"/>
    <w:rsid w:val="006846A7"/>
    <w:rsid w:val="00690F28"/>
    <w:rsid w:val="0069589E"/>
    <w:rsid w:val="00695FC2"/>
    <w:rsid w:val="00696949"/>
    <w:rsid w:val="00696EF7"/>
    <w:rsid w:val="00697052"/>
    <w:rsid w:val="006A0CD9"/>
    <w:rsid w:val="006A18CE"/>
    <w:rsid w:val="006A203B"/>
    <w:rsid w:val="006A299B"/>
    <w:rsid w:val="006A46FB"/>
    <w:rsid w:val="006A5E28"/>
    <w:rsid w:val="006A6736"/>
    <w:rsid w:val="006A697B"/>
    <w:rsid w:val="006A6D00"/>
    <w:rsid w:val="006A7AFF"/>
    <w:rsid w:val="006B1816"/>
    <w:rsid w:val="006B1B69"/>
    <w:rsid w:val="006B2099"/>
    <w:rsid w:val="006B3661"/>
    <w:rsid w:val="006B3670"/>
    <w:rsid w:val="006B5002"/>
    <w:rsid w:val="006B50CF"/>
    <w:rsid w:val="006B5901"/>
    <w:rsid w:val="006C03B8"/>
    <w:rsid w:val="006C05CE"/>
    <w:rsid w:val="006C1DE4"/>
    <w:rsid w:val="006C41F3"/>
    <w:rsid w:val="006C44DA"/>
    <w:rsid w:val="006C4869"/>
    <w:rsid w:val="006C4D06"/>
    <w:rsid w:val="006C4F1B"/>
    <w:rsid w:val="006C5EC9"/>
    <w:rsid w:val="006C6059"/>
    <w:rsid w:val="006C7396"/>
    <w:rsid w:val="006C7522"/>
    <w:rsid w:val="006D647D"/>
    <w:rsid w:val="006D6E7D"/>
    <w:rsid w:val="006D6F08"/>
    <w:rsid w:val="006E035B"/>
    <w:rsid w:val="006E062C"/>
    <w:rsid w:val="006E0684"/>
    <w:rsid w:val="006E1C82"/>
    <w:rsid w:val="006E28B7"/>
    <w:rsid w:val="006E2A9B"/>
    <w:rsid w:val="006E3310"/>
    <w:rsid w:val="006E3543"/>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07DBC"/>
    <w:rsid w:val="00712287"/>
    <w:rsid w:val="00712772"/>
    <w:rsid w:val="0071280B"/>
    <w:rsid w:val="007133D7"/>
    <w:rsid w:val="007135B8"/>
    <w:rsid w:val="00713F46"/>
    <w:rsid w:val="007142F5"/>
    <w:rsid w:val="007148D3"/>
    <w:rsid w:val="0071500B"/>
    <w:rsid w:val="007152D9"/>
    <w:rsid w:val="007152F3"/>
    <w:rsid w:val="00715B9A"/>
    <w:rsid w:val="00716800"/>
    <w:rsid w:val="007216AE"/>
    <w:rsid w:val="00722D5A"/>
    <w:rsid w:val="00724DD3"/>
    <w:rsid w:val="007257D0"/>
    <w:rsid w:val="00726EA6"/>
    <w:rsid w:val="00727208"/>
    <w:rsid w:val="00727680"/>
    <w:rsid w:val="007348B1"/>
    <w:rsid w:val="007362A6"/>
    <w:rsid w:val="007367E9"/>
    <w:rsid w:val="00736D7D"/>
    <w:rsid w:val="00740E58"/>
    <w:rsid w:val="00741C00"/>
    <w:rsid w:val="007445A0"/>
    <w:rsid w:val="0074524B"/>
    <w:rsid w:val="00747D8B"/>
    <w:rsid w:val="007506E3"/>
    <w:rsid w:val="00751228"/>
    <w:rsid w:val="0075182F"/>
    <w:rsid w:val="0075436C"/>
    <w:rsid w:val="00756010"/>
    <w:rsid w:val="00756367"/>
    <w:rsid w:val="007571E1"/>
    <w:rsid w:val="007576E0"/>
    <w:rsid w:val="007604B2"/>
    <w:rsid w:val="0076084D"/>
    <w:rsid w:val="00763100"/>
    <w:rsid w:val="00765281"/>
    <w:rsid w:val="007656E2"/>
    <w:rsid w:val="00765ADB"/>
    <w:rsid w:val="00765F2F"/>
    <w:rsid w:val="00766BAD"/>
    <w:rsid w:val="007701F1"/>
    <w:rsid w:val="007705DA"/>
    <w:rsid w:val="00772365"/>
    <w:rsid w:val="007729A2"/>
    <w:rsid w:val="00774B35"/>
    <w:rsid w:val="007755F2"/>
    <w:rsid w:val="00775C6B"/>
    <w:rsid w:val="00776971"/>
    <w:rsid w:val="007778D3"/>
    <w:rsid w:val="00780A80"/>
    <w:rsid w:val="00780DD8"/>
    <w:rsid w:val="0078177E"/>
    <w:rsid w:val="0078304C"/>
    <w:rsid w:val="00783673"/>
    <w:rsid w:val="00784AAF"/>
    <w:rsid w:val="00784F07"/>
    <w:rsid w:val="00785490"/>
    <w:rsid w:val="00786C30"/>
    <w:rsid w:val="007876ED"/>
    <w:rsid w:val="00791CE8"/>
    <w:rsid w:val="007925EA"/>
    <w:rsid w:val="0079375B"/>
    <w:rsid w:val="00793CD8"/>
    <w:rsid w:val="00793F37"/>
    <w:rsid w:val="007941DC"/>
    <w:rsid w:val="00794E21"/>
    <w:rsid w:val="00795C92"/>
    <w:rsid w:val="00796231"/>
    <w:rsid w:val="007A0D8F"/>
    <w:rsid w:val="007A1CB3"/>
    <w:rsid w:val="007A28FD"/>
    <w:rsid w:val="007A2F5F"/>
    <w:rsid w:val="007A306F"/>
    <w:rsid w:val="007A3F5E"/>
    <w:rsid w:val="007A43A6"/>
    <w:rsid w:val="007A441F"/>
    <w:rsid w:val="007A483A"/>
    <w:rsid w:val="007A58A6"/>
    <w:rsid w:val="007A6C58"/>
    <w:rsid w:val="007A7185"/>
    <w:rsid w:val="007A71B5"/>
    <w:rsid w:val="007A7A3F"/>
    <w:rsid w:val="007B3D2D"/>
    <w:rsid w:val="007B50AE"/>
    <w:rsid w:val="007B51DF"/>
    <w:rsid w:val="007B5923"/>
    <w:rsid w:val="007B6D1E"/>
    <w:rsid w:val="007C05DD"/>
    <w:rsid w:val="007C198D"/>
    <w:rsid w:val="007C2AC7"/>
    <w:rsid w:val="007C37C1"/>
    <w:rsid w:val="007C3D18"/>
    <w:rsid w:val="007C46E0"/>
    <w:rsid w:val="007C4E08"/>
    <w:rsid w:val="007C5AAD"/>
    <w:rsid w:val="007C60BF"/>
    <w:rsid w:val="007C6A07"/>
    <w:rsid w:val="007C75A1"/>
    <w:rsid w:val="007C77A5"/>
    <w:rsid w:val="007C7D6C"/>
    <w:rsid w:val="007D04E5"/>
    <w:rsid w:val="007D23AD"/>
    <w:rsid w:val="007D35C0"/>
    <w:rsid w:val="007D3AF3"/>
    <w:rsid w:val="007D3B7A"/>
    <w:rsid w:val="007D4358"/>
    <w:rsid w:val="007D4A34"/>
    <w:rsid w:val="007D5505"/>
    <w:rsid w:val="007D5901"/>
    <w:rsid w:val="007D5C10"/>
    <w:rsid w:val="007D5DFB"/>
    <w:rsid w:val="007D7526"/>
    <w:rsid w:val="007D7801"/>
    <w:rsid w:val="007D7B85"/>
    <w:rsid w:val="007E01F9"/>
    <w:rsid w:val="007E1B75"/>
    <w:rsid w:val="007E4610"/>
    <w:rsid w:val="007E4715"/>
    <w:rsid w:val="007E4A58"/>
    <w:rsid w:val="007E505B"/>
    <w:rsid w:val="007E7091"/>
    <w:rsid w:val="007E73E6"/>
    <w:rsid w:val="007F0CD7"/>
    <w:rsid w:val="007F14FF"/>
    <w:rsid w:val="007F1E8A"/>
    <w:rsid w:val="007F421A"/>
    <w:rsid w:val="007F4B69"/>
    <w:rsid w:val="007F6B58"/>
    <w:rsid w:val="007F6FFA"/>
    <w:rsid w:val="007F7AD6"/>
    <w:rsid w:val="00800C6C"/>
    <w:rsid w:val="00801E75"/>
    <w:rsid w:val="0080323E"/>
    <w:rsid w:val="00803D6F"/>
    <w:rsid w:val="00803FAE"/>
    <w:rsid w:val="0080605F"/>
    <w:rsid w:val="00807786"/>
    <w:rsid w:val="0081037C"/>
    <w:rsid w:val="008110D2"/>
    <w:rsid w:val="00811FCB"/>
    <w:rsid w:val="00813424"/>
    <w:rsid w:val="00814686"/>
    <w:rsid w:val="008158D6"/>
    <w:rsid w:val="00815A9D"/>
    <w:rsid w:val="00817041"/>
    <w:rsid w:val="00817196"/>
    <w:rsid w:val="008172AE"/>
    <w:rsid w:val="008208EF"/>
    <w:rsid w:val="008214CF"/>
    <w:rsid w:val="008235DB"/>
    <w:rsid w:val="00824AB4"/>
    <w:rsid w:val="00825C42"/>
    <w:rsid w:val="00825D25"/>
    <w:rsid w:val="00827D6F"/>
    <w:rsid w:val="00827EAF"/>
    <w:rsid w:val="008327BF"/>
    <w:rsid w:val="00835488"/>
    <w:rsid w:val="008376AC"/>
    <w:rsid w:val="00837C7D"/>
    <w:rsid w:val="00841F3E"/>
    <w:rsid w:val="008444E8"/>
    <w:rsid w:val="00844E80"/>
    <w:rsid w:val="0084540C"/>
    <w:rsid w:val="008455CB"/>
    <w:rsid w:val="00846520"/>
    <w:rsid w:val="00846FE7"/>
    <w:rsid w:val="008475D4"/>
    <w:rsid w:val="00850D16"/>
    <w:rsid w:val="008523BA"/>
    <w:rsid w:val="0085406A"/>
    <w:rsid w:val="008567BB"/>
    <w:rsid w:val="00856911"/>
    <w:rsid w:val="00862290"/>
    <w:rsid w:val="00862FDC"/>
    <w:rsid w:val="00863A07"/>
    <w:rsid w:val="008640D0"/>
    <w:rsid w:val="0086686F"/>
    <w:rsid w:val="00867182"/>
    <w:rsid w:val="008677FD"/>
    <w:rsid w:val="00867A03"/>
    <w:rsid w:val="008706D4"/>
    <w:rsid w:val="00870E51"/>
    <w:rsid w:val="00870F8A"/>
    <w:rsid w:val="008719A4"/>
    <w:rsid w:val="00871D23"/>
    <w:rsid w:val="008721AB"/>
    <w:rsid w:val="008738A4"/>
    <w:rsid w:val="00874312"/>
    <w:rsid w:val="0087437C"/>
    <w:rsid w:val="00874E12"/>
    <w:rsid w:val="00874FF9"/>
    <w:rsid w:val="00875CD7"/>
    <w:rsid w:val="00876916"/>
    <w:rsid w:val="00876B4D"/>
    <w:rsid w:val="0087790B"/>
    <w:rsid w:val="00877F18"/>
    <w:rsid w:val="00880223"/>
    <w:rsid w:val="00880ACE"/>
    <w:rsid w:val="00881725"/>
    <w:rsid w:val="00882EF2"/>
    <w:rsid w:val="00887EDE"/>
    <w:rsid w:val="00890B40"/>
    <w:rsid w:val="00891464"/>
    <w:rsid w:val="00891D52"/>
    <w:rsid w:val="00892A12"/>
    <w:rsid w:val="008941E3"/>
    <w:rsid w:val="00894A88"/>
    <w:rsid w:val="00895386"/>
    <w:rsid w:val="008961F9"/>
    <w:rsid w:val="00896E57"/>
    <w:rsid w:val="008A1DAD"/>
    <w:rsid w:val="008A1EE3"/>
    <w:rsid w:val="008A21FF"/>
    <w:rsid w:val="008A2CE2"/>
    <w:rsid w:val="008A30AC"/>
    <w:rsid w:val="008A30F9"/>
    <w:rsid w:val="008A44B8"/>
    <w:rsid w:val="008A4A5C"/>
    <w:rsid w:val="008A51A8"/>
    <w:rsid w:val="008A54C7"/>
    <w:rsid w:val="008A555F"/>
    <w:rsid w:val="008A6BFA"/>
    <w:rsid w:val="008A760F"/>
    <w:rsid w:val="008A77D8"/>
    <w:rsid w:val="008B0079"/>
    <w:rsid w:val="008B0483"/>
    <w:rsid w:val="008B120C"/>
    <w:rsid w:val="008B1530"/>
    <w:rsid w:val="008B1B3E"/>
    <w:rsid w:val="008B3652"/>
    <w:rsid w:val="008B45D1"/>
    <w:rsid w:val="008B51A0"/>
    <w:rsid w:val="008B53DA"/>
    <w:rsid w:val="008B592A"/>
    <w:rsid w:val="008B7B5C"/>
    <w:rsid w:val="008B7F39"/>
    <w:rsid w:val="008C000F"/>
    <w:rsid w:val="008C0C99"/>
    <w:rsid w:val="008C1800"/>
    <w:rsid w:val="008C2017"/>
    <w:rsid w:val="008C3D51"/>
    <w:rsid w:val="008C4958"/>
    <w:rsid w:val="008C4BAA"/>
    <w:rsid w:val="008C68BF"/>
    <w:rsid w:val="008C6AE8"/>
    <w:rsid w:val="008C7573"/>
    <w:rsid w:val="008D00A5"/>
    <w:rsid w:val="008D34F1"/>
    <w:rsid w:val="008D39D8"/>
    <w:rsid w:val="008D654B"/>
    <w:rsid w:val="008D66F9"/>
    <w:rsid w:val="008D6A64"/>
    <w:rsid w:val="008D6D1A"/>
    <w:rsid w:val="008D7C00"/>
    <w:rsid w:val="008E065E"/>
    <w:rsid w:val="008E07A7"/>
    <w:rsid w:val="008E0927"/>
    <w:rsid w:val="008E0FBB"/>
    <w:rsid w:val="008E1909"/>
    <w:rsid w:val="008E28FA"/>
    <w:rsid w:val="008E3956"/>
    <w:rsid w:val="008E42B4"/>
    <w:rsid w:val="008E7BA1"/>
    <w:rsid w:val="008F1C4E"/>
    <w:rsid w:val="008F1EAB"/>
    <w:rsid w:val="008F2233"/>
    <w:rsid w:val="008F2ED0"/>
    <w:rsid w:val="008F33DC"/>
    <w:rsid w:val="008F469B"/>
    <w:rsid w:val="008F477F"/>
    <w:rsid w:val="008F4977"/>
    <w:rsid w:val="00900B1F"/>
    <w:rsid w:val="00902350"/>
    <w:rsid w:val="0090336B"/>
    <w:rsid w:val="009041D9"/>
    <w:rsid w:val="009053AA"/>
    <w:rsid w:val="009068D5"/>
    <w:rsid w:val="00906939"/>
    <w:rsid w:val="00906ECC"/>
    <w:rsid w:val="009103DD"/>
    <w:rsid w:val="00910B7D"/>
    <w:rsid w:val="00910CDF"/>
    <w:rsid w:val="00910DC9"/>
    <w:rsid w:val="00911DFB"/>
    <w:rsid w:val="009139D9"/>
    <w:rsid w:val="00914AD8"/>
    <w:rsid w:val="00914D2A"/>
    <w:rsid w:val="00916079"/>
    <w:rsid w:val="00917CE9"/>
    <w:rsid w:val="00920BF2"/>
    <w:rsid w:val="0092102C"/>
    <w:rsid w:val="00922010"/>
    <w:rsid w:val="00925088"/>
    <w:rsid w:val="00930F86"/>
    <w:rsid w:val="009317FA"/>
    <w:rsid w:val="00931BD9"/>
    <w:rsid w:val="009341DA"/>
    <w:rsid w:val="0093564E"/>
    <w:rsid w:val="009363E8"/>
    <w:rsid w:val="009368F3"/>
    <w:rsid w:val="00941636"/>
    <w:rsid w:val="009433CF"/>
    <w:rsid w:val="00943742"/>
    <w:rsid w:val="00943901"/>
    <w:rsid w:val="00944B32"/>
    <w:rsid w:val="00945C05"/>
    <w:rsid w:val="00945DE1"/>
    <w:rsid w:val="00946945"/>
    <w:rsid w:val="00947713"/>
    <w:rsid w:val="00950522"/>
    <w:rsid w:val="00950C88"/>
    <w:rsid w:val="00950DE7"/>
    <w:rsid w:val="00951CDE"/>
    <w:rsid w:val="00951F55"/>
    <w:rsid w:val="00952274"/>
    <w:rsid w:val="00953262"/>
    <w:rsid w:val="00953920"/>
    <w:rsid w:val="00953D47"/>
    <w:rsid w:val="0095472D"/>
    <w:rsid w:val="00956095"/>
    <w:rsid w:val="0095681E"/>
    <w:rsid w:val="00956D51"/>
    <w:rsid w:val="00956E5D"/>
    <w:rsid w:val="009572D4"/>
    <w:rsid w:val="00961921"/>
    <w:rsid w:val="0096430A"/>
    <w:rsid w:val="0096554B"/>
    <w:rsid w:val="0096584A"/>
    <w:rsid w:val="00966F8D"/>
    <w:rsid w:val="00967C9D"/>
    <w:rsid w:val="00970CD7"/>
    <w:rsid w:val="00971F08"/>
    <w:rsid w:val="009758CB"/>
    <w:rsid w:val="0097603D"/>
    <w:rsid w:val="00976949"/>
    <w:rsid w:val="00976FE5"/>
    <w:rsid w:val="0097734F"/>
    <w:rsid w:val="00980477"/>
    <w:rsid w:val="00980504"/>
    <w:rsid w:val="00982BDD"/>
    <w:rsid w:val="00982EC3"/>
    <w:rsid w:val="00985253"/>
    <w:rsid w:val="009852A3"/>
    <w:rsid w:val="009853B3"/>
    <w:rsid w:val="00985F47"/>
    <w:rsid w:val="0098626F"/>
    <w:rsid w:val="00990630"/>
    <w:rsid w:val="00990689"/>
    <w:rsid w:val="009912EB"/>
    <w:rsid w:val="0099169D"/>
    <w:rsid w:val="00991761"/>
    <w:rsid w:val="009918D4"/>
    <w:rsid w:val="00993090"/>
    <w:rsid w:val="009946EA"/>
    <w:rsid w:val="00994DCA"/>
    <w:rsid w:val="009960EC"/>
    <w:rsid w:val="009970DD"/>
    <w:rsid w:val="00997EFB"/>
    <w:rsid w:val="009A0FBA"/>
    <w:rsid w:val="009A1601"/>
    <w:rsid w:val="009A3347"/>
    <w:rsid w:val="009A3BB6"/>
    <w:rsid w:val="009A3E1A"/>
    <w:rsid w:val="009A462D"/>
    <w:rsid w:val="009A5806"/>
    <w:rsid w:val="009A5CBA"/>
    <w:rsid w:val="009A6866"/>
    <w:rsid w:val="009B0D0E"/>
    <w:rsid w:val="009B1F30"/>
    <w:rsid w:val="009B2DC6"/>
    <w:rsid w:val="009B3AC2"/>
    <w:rsid w:val="009B3F65"/>
    <w:rsid w:val="009B4DF4"/>
    <w:rsid w:val="009B564E"/>
    <w:rsid w:val="009B6E7A"/>
    <w:rsid w:val="009B7E87"/>
    <w:rsid w:val="009C00CE"/>
    <w:rsid w:val="009C0169"/>
    <w:rsid w:val="009C19B4"/>
    <w:rsid w:val="009C2DBC"/>
    <w:rsid w:val="009C403E"/>
    <w:rsid w:val="009C4596"/>
    <w:rsid w:val="009C45FD"/>
    <w:rsid w:val="009D1941"/>
    <w:rsid w:val="009D27D6"/>
    <w:rsid w:val="009D452A"/>
    <w:rsid w:val="009D4FF0"/>
    <w:rsid w:val="009D6FDB"/>
    <w:rsid w:val="009D703C"/>
    <w:rsid w:val="009D718F"/>
    <w:rsid w:val="009E068F"/>
    <w:rsid w:val="009E0E36"/>
    <w:rsid w:val="009E11E1"/>
    <w:rsid w:val="009E14E0"/>
    <w:rsid w:val="009E35DB"/>
    <w:rsid w:val="009E47A3"/>
    <w:rsid w:val="009E47DF"/>
    <w:rsid w:val="009E5421"/>
    <w:rsid w:val="009E650C"/>
    <w:rsid w:val="009F071E"/>
    <w:rsid w:val="009F08F3"/>
    <w:rsid w:val="009F0D27"/>
    <w:rsid w:val="009F20A1"/>
    <w:rsid w:val="009F2343"/>
    <w:rsid w:val="009F2EC7"/>
    <w:rsid w:val="009F33C5"/>
    <w:rsid w:val="009F344F"/>
    <w:rsid w:val="009F3EB0"/>
    <w:rsid w:val="009F570D"/>
    <w:rsid w:val="00A029A9"/>
    <w:rsid w:val="00A031D8"/>
    <w:rsid w:val="00A03453"/>
    <w:rsid w:val="00A048A8"/>
    <w:rsid w:val="00A04F49"/>
    <w:rsid w:val="00A138EC"/>
    <w:rsid w:val="00A13E54"/>
    <w:rsid w:val="00A14B21"/>
    <w:rsid w:val="00A1509C"/>
    <w:rsid w:val="00A15C2B"/>
    <w:rsid w:val="00A17F63"/>
    <w:rsid w:val="00A2193B"/>
    <w:rsid w:val="00A21CAA"/>
    <w:rsid w:val="00A2204D"/>
    <w:rsid w:val="00A2263E"/>
    <w:rsid w:val="00A23251"/>
    <w:rsid w:val="00A2351A"/>
    <w:rsid w:val="00A25DC9"/>
    <w:rsid w:val="00A264A9"/>
    <w:rsid w:val="00A267D7"/>
    <w:rsid w:val="00A26DCF"/>
    <w:rsid w:val="00A27785"/>
    <w:rsid w:val="00A30187"/>
    <w:rsid w:val="00A31151"/>
    <w:rsid w:val="00A314E9"/>
    <w:rsid w:val="00A3448A"/>
    <w:rsid w:val="00A34DD3"/>
    <w:rsid w:val="00A36297"/>
    <w:rsid w:val="00A37381"/>
    <w:rsid w:val="00A3745D"/>
    <w:rsid w:val="00A4053F"/>
    <w:rsid w:val="00A41E2B"/>
    <w:rsid w:val="00A45B74"/>
    <w:rsid w:val="00A46E91"/>
    <w:rsid w:val="00A51C84"/>
    <w:rsid w:val="00A52127"/>
    <w:rsid w:val="00A52E1D"/>
    <w:rsid w:val="00A53C7C"/>
    <w:rsid w:val="00A54C0E"/>
    <w:rsid w:val="00A55DB1"/>
    <w:rsid w:val="00A61499"/>
    <w:rsid w:val="00A6228C"/>
    <w:rsid w:val="00A62A77"/>
    <w:rsid w:val="00A62B86"/>
    <w:rsid w:val="00A6323E"/>
    <w:rsid w:val="00A63483"/>
    <w:rsid w:val="00A64B5A"/>
    <w:rsid w:val="00A657D7"/>
    <w:rsid w:val="00A660AC"/>
    <w:rsid w:val="00A67E6C"/>
    <w:rsid w:val="00A71B99"/>
    <w:rsid w:val="00A72C1F"/>
    <w:rsid w:val="00A739D0"/>
    <w:rsid w:val="00A75DFA"/>
    <w:rsid w:val="00A761D4"/>
    <w:rsid w:val="00A7737D"/>
    <w:rsid w:val="00A77EC4"/>
    <w:rsid w:val="00A812CC"/>
    <w:rsid w:val="00A81CC6"/>
    <w:rsid w:val="00A82273"/>
    <w:rsid w:val="00A8294D"/>
    <w:rsid w:val="00A85770"/>
    <w:rsid w:val="00A85960"/>
    <w:rsid w:val="00A86A06"/>
    <w:rsid w:val="00A87755"/>
    <w:rsid w:val="00A878B4"/>
    <w:rsid w:val="00A878F0"/>
    <w:rsid w:val="00A87CCB"/>
    <w:rsid w:val="00A92879"/>
    <w:rsid w:val="00A92B42"/>
    <w:rsid w:val="00A932C3"/>
    <w:rsid w:val="00A9339D"/>
    <w:rsid w:val="00A9442A"/>
    <w:rsid w:val="00A95035"/>
    <w:rsid w:val="00A961B7"/>
    <w:rsid w:val="00A96DD3"/>
    <w:rsid w:val="00A979D6"/>
    <w:rsid w:val="00AA016F"/>
    <w:rsid w:val="00AA0230"/>
    <w:rsid w:val="00AA14DA"/>
    <w:rsid w:val="00AA1ED6"/>
    <w:rsid w:val="00AA51D6"/>
    <w:rsid w:val="00AA5731"/>
    <w:rsid w:val="00AB0BC8"/>
    <w:rsid w:val="00AB11CA"/>
    <w:rsid w:val="00AB14D9"/>
    <w:rsid w:val="00AB3B9A"/>
    <w:rsid w:val="00AB4AB8"/>
    <w:rsid w:val="00AB655E"/>
    <w:rsid w:val="00AB6E3E"/>
    <w:rsid w:val="00AB7EA6"/>
    <w:rsid w:val="00AC007F"/>
    <w:rsid w:val="00AC1431"/>
    <w:rsid w:val="00AC145E"/>
    <w:rsid w:val="00AC2ECD"/>
    <w:rsid w:val="00AC3119"/>
    <w:rsid w:val="00AC49FB"/>
    <w:rsid w:val="00AC5A10"/>
    <w:rsid w:val="00AC65BB"/>
    <w:rsid w:val="00AC66F3"/>
    <w:rsid w:val="00AD001C"/>
    <w:rsid w:val="00AD0AA3"/>
    <w:rsid w:val="00AD25AF"/>
    <w:rsid w:val="00AD2999"/>
    <w:rsid w:val="00AD2AD0"/>
    <w:rsid w:val="00AD2ED0"/>
    <w:rsid w:val="00AD3F94"/>
    <w:rsid w:val="00AD45A2"/>
    <w:rsid w:val="00AD4A5A"/>
    <w:rsid w:val="00AD4E2E"/>
    <w:rsid w:val="00AE0870"/>
    <w:rsid w:val="00AE27AC"/>
    <w:rsid w:val="00AE281F"/>
    <w:rsid w:val="00AE3371"/>
    <w:rsid w:val="00AE40E0"/>
    <w:rsid w:val="00AE4DBA"/>
    <w:rsid w:val="00AE4F07"/>
    <w:rsid w:val="00AE528A"/>
    <w:rsid w:val="00AE5EFB"/>
    <w:rsid w:val="00AE62DF"/>
    <w:rsid w:val="00AE6818"/>
    <w:rsid w:val="00AF0D3D"/>
    <w:rsid w:val="00AF142D"/>
    <w:rsid w:val="00AF1C5D"/>
    <w:rsid w:val="00AF1DCE"/>
    <w:rsid w:val="00AF42D7"/>
    <w:rsid w:val="00AF5372"/>
    <w:rsid w:val="00AF5BEE"/>
    <w:rsid w:val="00B006FE"/>
    <w:rsid w:val="00B007CB"/>
    <w:rsid w:val="00B023A1"/>
    <w:rsid w:val="00B02AA9"/>
    <w:rsid w:val="00B02FA3"/>
    <w:rsid w:val="00B048E3"/>
    <w:rsid w:val="00B05084"/>
    <w:rsid w:val="00B06002"/>
    <w:rsid w:val="00B07E35"/>
    <w:rsid w:val="00B120E6"/>
    <w:rsid w:val="00B13CA6"/>
    <w:rsid w:val="00B14D49"/>
    <w:rsid w:val="00B157F9"/>
    <w:rsid w:val="00B201D8"/>
    <w:rsid w:val="00B20256"/>
    <w:rsid w:val="00B20599"/>
    <w:rsid w:val="00B2071A"/>
    <w:rsid w:val="00B20D09"/>
    <w:rsid w:val="00B20DDB"/>
    <w:rsid w:val="00B22567"/>
    <w:rsid w:val="00B22C41"/>
    <w:rsid w:val="00B24A71"/>
    <w:rsid w:val="00B26F9A"/>
    <w:rsid w:val="00B273B4"/>
    <w:rsid w:val="00B2763F"/>
    <w:rsid w:val="00B278F6"/>
    <w:rsid w:val="00B27AAC"/>
    <w:rsid w:val="00B301DA"/>
    <w:rsid w:val="00B30929"/>
    <w:rsid w:val="00B324D9"/>
    <w:rsid w:val="00B32574"/>
    <w:rsid w:val="00B353B1"/>
    <w:rsid w:val="00B353E0"/>
    <w:rsid w:val="00B372AA"/>
    <w:rsid w:val="00B379DC"/>
    <w:rsid w:val="00B40445"/>
    <w:rsid w:val="00B409E0"/>
    <w:rsid w:val="00B415E1"/>
    <w:rsid w:val="00B41888"/>
    <w:rsid w:val="00B45A52"/>
    <w:rsid w:val="00B46175"/>
    <w:rsid w:val="00B46724"/>
    <w:rsid w:val="00B47883"/>
    <w:rsid w:val="00B5393E"/>
    <w:rsid w:val="00B53F46"/>
    <w:rsid w:val="00B548B7"/>
    <w:rsid w:val="00B57781"/>
    <w:rsid w:val="00B57F99"/>
    <w:rsid w:val="00B61870"/>
    <w:rsid w:val="00B63395"/>
    <w:rsid w:val="00B664C7"/>
    <w:rsid w:val="00B70F4A"/>
    <w:rsid w:val="00B72553"/>
    <w:rsid w:val="00B739F6"/>
    <w:rsid w:val="00B73AC1"/>
    <w:rsid w:val="00B769D2"/>
    <w:rsid w:val="00B80550"/>
    <w:rsid w:val="00B807F3"/>
    <w:rsid w:val="00B80D2A"/>
    <w:rsid w:val="00B81A6C"/>
    <w:rsid w:val="00B82F87"/>
    <w:rsid w:val="00B83975"/>
    <w:rsid w:val="00B85DE5"/>
    <w:rsid w:val="00B90F73"/>
    <w:rsid w:val="00B91680"/>
    <w:rsid w:val="00B92426"/>
    <w:rsid w:val="00B93B59"/>
    <w:rsid w:val="00B9406A"/>
    <w:rsid w:val="00B949E1"/>
    <w:rsid w:val="00B94B0D"/>
    <w:rsid w:val="00B9715C"/>
    <w:rsid w:val="00BA0EE2"/>
    <w:rsid w:val="00BA1C8F"/>
    <w:rsid w:val="00BA2280"/>
    <w:rsid w:val="00BA2A08"/>
    <w:rsid w:val="00BA56D2"/>
    <w:rsid w:val="00BA69DD"/>
    <w:rsid w:val="00BA7172"/>
    <w:rsid w:val="00BA76E0"/>
    <w:rsid w:val="00BB15D9"/>
    <w:rsid w:val="00BB2087"/>
    <w:rsid w:val="00BB2A25"/>
    <w:rsid w:val="00BB51E9"/>
    <w:rsid w:val="00BB7014"/>
    <w:rsid w:val="00BB718F"/>
    <w:rsid w:val="00BC0FDC"/>
    <w:rsid w:val="00BC2C7A"/>
    <w:rsid w:val="00BC3053"/>
    <w:rsid w:val="00BC4D2E"/>
    <w:rsid w:val="00BD48AC"/>
    <w:rsid w:val="00BD5F1A"/>
    <w:rsid w:val="00BD7129"/>
    <w:rsid w:val="00BE1234"/>
    <w:rsid w:val="00BE2FA6"/>
    <w:rsid w:val="00BE333F"/>
    <w:rsid w:val="00BE4832"/>
    <w:rsid w:val="00BE598B"/>
    <w:rsid w:val="00BE7406"/>
    <w:rsid w:val="00BE7603"/>
    <w:rsid w:val="00BF3279"/>
    <w:rsid w:val="00BF74C7"/>
    <w:rsid w:val="00C008D6"/>
    <w:rsid w:val="00C015F1"/>
    <w:rsid w:val="00C01F33"/>
    <w:rsid w:val="00C02555"/>
    <w:rsid w:val="00C02CC6"/>
    <w:rsid w:val="00C03EC6"/>
    <w:rsid w:val="00C040F7"/>
    <w:rsid w:val="00C044AB"/>
    <w:rsid w:val="00C0478C"/>
    <w:rsid w:val="00C055C7"/>
    <w:rsid w:val="00C05706"/>
    <w:rsid w:val="00C07377"/>
    <w:rsid w:val="00C1044A"/>
    <w:rsid w:val="00C10478"/>
    <w:rsid w:val="00C12107"/>
    <w:rsid w:val="00C14D4B"/>
    <w:rsid w:val="00C154BB"/>
    <w:rsid w:val="00C156BE"/>
    <w:rsid w:val="00C171F6"/>
    <w:rsid w:val="00C207A8"/>
    <w:rsid w:val="00C22105"/>
    <w:rsid w:val="00C25290"/>
    <w:rsid w:val="00C27789"/>
    <w:rsid w:val="00C279B5"/>
    <w:rsid w:val="00C27B1B"/>
    <w:rsid w:val="00C27C45"/>
    <w:rsid w:val="00C31475"/>
    <w:rsid w:val="00C336B6"/>
    <w:rsid w:val="00C355A4"/>
    <w:rsid w:val="00C3719D"/>
    <w:rsid w:val="00C37B4D"/>
    <w:rsid w:val="00C37CB2"/>
    <w:rsid w:val="00C404DE"/>
    <w:rsid w:val="00C41423"/>
    <w:rsid w:val="00C4427C"/>
    <w:rsid w:val="00C45A5C"/>
    <w:rsid w:val="00C45A96"/>
    <w:rsid w:val="00C470FC"/>
    <w:rsid w:val="00C473A5"/>
    <w:rsid w:val="00C5054E"/>
    <w:rsid w:val="00C54995"/>
    <w:rsid w:val="00C54D41"/>
    <w:rsid w:val="00C55A2A"/>
    <w:rsid w:val="00C60783"/>
    <w:rsid w:val="00C62702"/>
    <w:rsid w:val="00C64672"/>
    <w:rsid w:val="00C64CE0"/>
    <w:rsid w:val="00C6646D"/>
    <w:rsid w:val="00C66E70"/>
    <w:rsid w:val="00C70697"/>
    <w:rsid w:val="00C70EEC"/>
    <w:rsid w:val="00C714F2"/>
    <w:rsid w:val="00C71C25"/>
    <w:rsid w:val="00C72076"/>
    <w:rsid w:val="00C72093"/>
    <w:rsid w:val="00C72B03"/>
    <w:rsid w:val="00C72EF4"/>
    <w:rsid w:val="00C744FE"/>
    <w:rsid w:val="00C75D2F"/>
    <w:rsid w:val="00C767BE"/>
    <w:rsid w:val="00C76E3C"/>
    <w:rsid w:val="00C77B01"/>
    <w:rsid w:val="00C81568"/>
    <w:rsid w:val="00C82237"/>
    <w:rsid w:val="00C9027A"/>
    <w:rsid w:val="00C9068E"/>
    <w:rsid w:val="00C91EBB"/>
    <w:rsid w:val="00C935A0"/>
    <w:rsid w:val="00C93814"/>
    <w:rsid w:val="00C93C4B"/>
    <w:rsid w:val="00C944AB"/>
    <w:rsid w:val="00C95B40"/>
    <w:rsid w:val="00C96141"/>
    <w:rsid w:val="00C97CB3"/>
    <w:rsid w:val="00CA0538"/>
    <w:rsid w:val="00CA0922"/>
    <w:rsid w:val="00CA13C6"/>
    <w:rsid w:val="00CA1ED8"/>
    <w:rsid w:val="00CA2DED"/>
    <w:rsid w:val="00CA3BFA"/>
    <w:rsid w:val="00CA4DC9"/>
    <w:rsid w:val="00CA4E6E"/>
    <w:rsid w:val="00CA570A"/>
    <w:rsid w:val="00CA615A"/>
    <w:rsid w:val="00CB1F63"/>
    <w:rsid w:val="00CB45F7"/>
    <w:rsid w:val="00CB5B49"/>
    <w:rsid w:val="00CB7170"/>
    <w:rsid w:val="00CC040E"/>
    <w:rsid w:val="00CC111F"/>
    <w:rsid w:val="00CC1187"/>
    <w:rsid w:val="00CC1EFE"/>
    <w:rsid w:val="00CC2011"/>
    <w:rsid w:val="00CC2A75"/>
    <w:rsid w:val="00CC3EA0"/>
    <w:rsid w:val="00CC5E15"/>
    <w:rsid w:val="00CC7B45"/>
    <w:rsid w:val="00CD1188"/>
    <w:rsid w:val="00CD183E"/>
    <w:rsid w:val="00CD2ED1"/>
    <w:rsid w:val="00CD337B"/>
    <w:rsid w:val="00CD7139"/>
    <w:rsid w:val="00CE0424"/>
    <w:rsid w:val="00CE1325"/>
    <w:rsid w:val="00CE3BD9"/>
    <w:rsid w:val="00CE6AA4"/>
    <w:rsid w:val="00CE7561"/>
    <w:rsid w:val="00CF1354"/>
    <w:rsid w:val="00CF1F77"/>
    <w:rsid w:val="00CF2AF0"/>
    <w:rsid w:val="00CF3B1F"/>
    <w:rsid w:val="00CF3BF6"/>
    <w:rsid w:val="00CF625B"/>
    <w:rsid w:val="00CF687E"/>
    <w:rsid w:val="00D0262C"/>
    <w:rsid w:val="00D02B0C"/>
    <w:rsid w:val="00D032CB"/>
    <w:rsid w:val="00D0349B"/>
    <w:rsid w:val="00D10249"/>
    <w:rsid w:val="00D115C3"/>
    <w:rsid w:val="00D11897"/>
    <w:rsid w:val="00D13135"/>
    <w:rsid w:val="00D13E4E"/>
    <w:rsid w:val="00D16FAA"/>
    <w:rsid w:val="00D21FBC"/>
    <w:rsid w:val="00D239A7"/>
    <w:rsid w:val="00D23F47"/>
    <w:rsid w:val="00D25792"/>
    <w:rsid w:val="00D27714"/>
    <w:rsid w:val="00D35E96"/>
    <w:rsid w:val="00D36E71"/>
    <w:rsid w:val="00D37D87"/>
    <w:rsid w:val="00D40B33"/>
    <w:rsid w:val="00D4280E"/>
    <w:rsid w:val="00D4318F"/>
    <w:rsid w:val="00D438BF"/>
    <w:rsid w:val="00D440F8"/>
    <w:rsid w:val="00D44740"/>
    <w:rsid w:val="00D51D00"/>
    <w:rsid w:val="00D53768"/>
    <w:rsid w:val="00D546FF"/>
    <w:rsid w:val="00D55AD5"/>
    <w:rsid w:val="00D5634B"/>
    <w:rsid w:val="00D57647"/>
    <w:rsid w:val="00D576CA"/>
    <w:rsid w:val="00D5773C"/>
    <w:rsid w:val="00D57933"/>
    <w:rsid w:val="00D61AF5"/>
    <w:rsid w:val="00D61EFC"/>
    <w:rsid w:val="00D629F4"/>
    <w:rsid w:val="00D62A2A"/>
    <w:rsid w:val="00D64359"/>
    <w:rsid w:val="00D652B5"/>
    <w:rsid w:val="00D66155"/>
    <w:rsid w:val="00D67979"/>
    <w:rsid w:val="00D70446"/>
    <w:rsid w:val="00D708B0"/>
    <w:rsid w:val="00D71E2C"/>
    <w:rsid w:val="00D72402"/>
    <w:rsid w:val="00D726A9"/>
    <w:rsid w:val="00D72BC1"/>
    <w:rsid w:val="00D74B19"/>
    <w:rsid w:val="00D763B1"/>
    <w:rsid w:val="00D77B1D"/>
    <w:rsid w:val="00D8021F"/>
    <w:rsid w:val="00D80383"/>
    <w:rsid w:val="00D809D2"/>
    <w:rsid w:val="00D823C6"/>
    <w:rsid w:val="00D829E9"/>
    <w:rsid w:val="00D830AC"/>
    <w:rsid w:val="00D8327F"/>
    <w:rsid w:val="00D85F4C"/>
    <w:rsid w:val="00D86CA3"/>
    <w:rsid w:val="00D87044"/>
    <w:rsid w:val="00D871CE"/>
    <w:rsid w:val="00D902C6"/>
    <w:rsid w:val="00D90B60"/>
    <w:rsid w:val="00D918C4"/>
    <w:rsid w:val="00D9196D"/>
    <w:rsid w:val="00D92982"/>
    <w:rsid w:val="00D9314B"/>
    <w:rsid w:val="00D94931"/>
    <w:rsid w:val="00D95F9F"/>
    <w:rsid w:val="00D96338"/>
    <w:rsid w:val="00DA087D"/>
    <w:rsid w:val="00DA12B7"/>
    <w:rsid w:val="00DA2C67"/>
    <w:rsid w:val="00DA305E"/>
    <w:rsid w:val="00DA3ECC"/>
    <w:rsid w:val="00DA5417"/>
    <w:rsid w:val="00DA56E8"/>
    <w:rsid w:val="00DA5878"/>
    <w:rsid w:val="00DB0A9F"/>
    <w:rsid w:val="00DB14D1"/>
    <w:rsid w:val="00DB377D"/>
    <w:rsid w:val="00DB627B"/>
    <w:rsid w:val="00DB72AF"/>
    <w:rsid w:val="00DC1D85"/>
    <w:rsid w:val="00DC2475"/>
    <w:rsid w:val="00DC24AC"/>
    <w:rsid w:val="00DC2D36"/>
    <w:rsid w:val="00DC53EF"/>
    <w:rsid w:val="00DD2379"/>
    <w:rsid w:val="00DD3E5E"/>
    <w:rsid w:val="00DD4B47"/>
    <w:rsid w:val="00DD703A"/>
    <w:rsid w:val="00DD7C4A"/>
    <w:rsid w:val="00DE0939"/>
    <w:rsid w:val="00DE2C41"/>
    <w:rsid w:val="00DE39E6"/>
    <w:rsid w:val="00DE5608"/>
    <w:rsid w:val="00DE58D0"/>
    <w:rsid w:val="00DE5911"/>
    <w:rsid w:val="00DE654F"/>
    <w:rsid w:val="00DE6CE8"/>
    <w:rsid w:val="00DF00BF"/>
    <w:rsid w:val="00DF0B6E"/>
    <w:rsid w:val="00DF15E0"/>
    <w:rsid w:val="00DF37A0"/>
    <w:rsid w:val="00DF5011"/>
    <w:rsid w:val="00DF53F5"/>
    <w:rsid w:val="00E02AD2"/>
    <w:rsid w:val="00E0402C"/>
    <w:rsid w:val="00E049F0"/>
    <w:rsid w:val="00E06A5B"/>
    <w:rsid w:val="00E06B0A"/>
    <w:rsid w:val="00E07221"/>
    <w:rsid w:val="00E07560"/>
    <w:rsid w:val="00E110E7"/>
    <w:rsid w:val="00E117E2"/>
    <w:rsid w:val="00E11B20"/>
    <w:rsid w:val="00E12A27"/>
    <w:rsid w:val="00E17399"/>
    <w:rsid w:val="00E17FA2"/>
    <w:rsid w:val="00E20D68"/>
    <w:rsid w:val="00E2191D"/>
    <w:rsid w:val="00E22330"/>
    <w:rsid w:val="00E23447"/>
    <w:rsid w:val="00E26C48"/>
    <w:rsid w:val="00E304B6"/>
    <w:rsid w:val="00E30B5A"/>
    <w:rsid w:val="00E30FDF"/>
    <w:rsid w:val="00E3123D"/>
    <w:rsid w:val="00E31461"/>
    <w:rsid w:val="00E31D43"/>
    <w:rsid w:val="00E31D81"/>
    <w:rsid w:val="00E32608"/>
    <w:rsid w:val="00E34188"/>
    <w:rsid w:val="00E34B6E"/>
    <w:rsid w:val="00E34C6C"/>
    <w:rsid w:val="00E35559"/>
    <w:rsid w:val="00E3723A"/>
    <w:rsid w:val="00E37860"/>
    <w:rsid w:val="00E4109A"/>
    <w:rsid w:val="00E41B0F"/>
    <w:rsid w:val="00E43607"/>
    <w:rsid w:val="00E446F1"/>
    <w:rsid w:val="00E46886"/>
    <w:rsid w:val="00E47AEF"/>
    <w:rsid w:val="00E517D9"/>
    <w:rsid w:val="00E534EA"/>
    <w:rsid w:val="00E53B75"/>
    <w:rsid w:val="00E54965"/>
    <w:rsid w:val="00E54E3B"/>
    <w:rsid w:val="00E57401"/>
    <w:rsid w:val="00E57565"/>
    <w:rsid w:val="00E60BDF"/>
    <w:rsid w:val="00E6180E"/>
    <w:rsid w:val="00E62187"/>
    <w:rsid w:val="00E6248A"/>
    <w:rsid w:val="00E63838"/>
    <w:rsid w:val="00E64434"/>
    <w:rsid w:val="00E6553E"/>
    <w:rsid w:val="00E6624B"/>
    <w:rsid w:val="00E662FD"/>
    <w:rsid w:val="00E6719F"/>
    <w:rsid w:val="00E67C51"/>
    <w:rsid w:val="00E7012C"/>
    <w:rsid w:val="00E7084C"/>
    <w:rsid w:val="00E72EFC"/>
    <w:rsid w:val="00E745CA"/>
    <w:rsid w:val="00E758EC"/>
    <w:rsid w:val="00E758ED"/>
    <w:rsid w:val="00E75F5A"/>
    <w:rsid w:val="00E7639D"/>
    <w:rsid w:val="00E81737"/>
    <w:rsid w:val="00E8234C"/>
    <w:rsid w:val="00E835E2"/>
    <w:rsid w:val="00E838E7"/>
    <w:rsid w:val="00E83AA9"/>
    <w:rsid w:val="00E83BC4"/>
    <w:rsid w:val="00E85928"/>
    <w:rsid w:val="00E8620E"/>
    <w:rsid w:val="00E866C5"/>
    <w:rsid w:val="00E87822"/>
    <w:rsid w:val="00E90395"/>
    <w:rsid w:val="00E90E49"/>
    <w:rsid w:val="00E917F9"/>
    <w:rsid w:val="00E921FD"/>
    <w:rsid w:val="00E9291C"/>
    <w:rsid w:val="00E93FFE"/>
    <w:rsid w:val="00E9453F"/>
    <w:rsid w:val="00E94F8A"/>
    <w:rsid w:val="00E95514"/>
    <w:rsid w:val="00E9666F"/>
    <w:rsid w:val="00E96B33"/>
    <w:rsid w:val="00EA10A7"/>
    <w:rsid w:val="00EA3C24"/>
    <w:rsid w:val="00EA763E"/>
    <w:rsid w:val="00EA7A41"/>
    <w:rsid w:val="00EB077B"/>
    <w:rsid w:val="00EB1792"/>
    <w:rsid w:val="00EB1DD1"/>
    <w:rsid w:val="00EB4EA2"/>
    <w:rsid w:val="00EB7E17"/>
    <w:rsid w:val="00EC1D15"/>
    <w:rsid w:val="00EC1F46"/>
    <w:rsid w:val="00EC24D5"/>
    <w:rsid w:val="00EC27C6"/>
    <w:rsid w:val="00EC2F9C"/>
    <w:rsid w:val="00EC3A6B"/>
    <w:rsid w:val="00EC3D8F"/>
    <w:rsid w:val="00EC4207"/>
    <w:rsid w:val="00EC42AB"/>
    <w:rsid w:val="00EC4E86"/>
    <w:rsid w:val="00EC5653"/>
    <w:rsid w:val="00EC584E"/>
    <w:rsid w:val="00EC5D3D"/>
    <w:rsid w:val="00EC71CE"/>
    <w:rsid w:val="00ED0128"/>
    <w:rsid w:val="00ED1006"/>
    <w:rsid w:val="00ED1790"/>
    <w:rsid w:val="00ED2DCE"/>
    <w:rsid w:val="00ED44DC"/>
    <w:rsid w:val="00ED7164"/>
    <w:rsid w:val="00EE0DC0"/>
    <w:rsid w:val="00EE1D29"/>
    <w:rsid w:val="00EE2C60"/>
    <w:rsid w:val="00EE479F"/>
    <w:rsid w:val="00EE7CB4"/>
    <w:rsid w:val="00EF18FE"/>
    <w:rsid w:val="00EF2498"/>
    <w:rsid w:val="00EF2732"/>
    <w:rsid w:val="00EF351D"/>
    <w:rsid w:val="00EF5787"/>
    <w:rsid w:val="00EF60D0"/>
    <w:rsid w:val="00F03B22"/>
    <w:rsid w:val="00F0528D"/>
    <w:rsid w:val="00F06C67"/>
    <w:rsid w:val="00F06DFD"/>
    <w:rsid w:val="00F07125"/>
    <w:rsid w:val="00F071D1"/>
    <w:rsid w:val="00F0749B"/>
    <w:rsid w:val="00F07533"/>
    <w:rsid w:val="00F10629"/>
    <w:rsid w:val="00F11B64"/>
    <w:rsid w:val="00F122BC"/>
    <w:rsid w:val="00F14E2E"/>
    <w:rsid w:val="00F159FB"/>
    <w:rsid w:val="00F15FA5"/>
    <w:rsid w:val="00F209B7"/>
    <w:rsid w:val="00F2376F"/>
    <w:rsid w:val="00F243D8"/>
    <w:rsid w:val="00F275C6"/>
    <w:rsid w:val="00F3014C"/>
    <w:rsid w:val="00F30828"/>
    <w:rsid w:val="00F313D6"/>
    <w:rsid w:val="00F33B6F"/>
    <w:rsid w:val="00F35DE4"/>
    <w:rsid w:val="00F369A8"/>
    <w:rsid w:val="00F4039B"/>
    <w:rsid w:val="00F40F0C"/>
    <w:rsid w:val="00F41EFE"/>
    <w:rsid w:val="00F43F9D"/>
    <w:rsid w:val="00F4579A"/>
    <w:rsid w:val="00F4766C"/>
    <w:rsid w:val="00F479AD"/>
    <w:rsid w:val="00F5060E"/>
    <w:rsid w:val="00F507D1"/>
    <w:rsid w:val="00F519CE"/>
    <w:rsid w:val="00F51ADA"/>
    <w:rsid w:val="00F53E65"/>
    <w:rsid w:val="00F5683F"/>
    <w:rsid w:val="00F57087"/>
    <w:rsid w:val="00F60203"/>
    <w:rsid w:val="00F6040E"/>
    <w:rsid w:val="00F607C5"/>
    <w:rsid w:val="00F60DEA"/>
    <w:rsid w:val="00F611DA"/>
    <w:rsid w:val="00F61332"/>
    <w:rsid w:val="00F6302A"/>
    <w:rsid w:val="00F63950"/>
    <w:rsid w:val="00F64C2B"/>
    <w:rsid w:val="00F64E60"/>
    <w:rsid w:val="00F651BE"/>
    <w:rsid w:val="00F662A3"/>
    <w:rsid w:val="00F6666F"/>
    <w:rsid w:val="00F67F53"/>
    <w:rsid w:val="00F703BE"/>
    <w:rsid w:val="00F714BE"/>
    <w:rsid w:val="00F71F69"/>
    <w:rsid w:val="00F72171"/>
    <w:rsid w:val="00F72B72"/>
    <w:rsid w:val="00F74BB9"/>
    <w:rsid w:val="00F75255"/>
    <w:rsid w:val="00F75582"/>
    <w:rsid w:val="00F7689C"/>
    <w:rsid w:val="00F76EFA"/>
    <w:rsid w:val="00F77888"/>
    <w:rsid w:val="00F80103"/>
    <w:rsid w:val="00F804BE"/>
    <w:rsid w:val="00F817CE"/>
    <w:rsid w:val="00F8456C"/>
    <w:rsid w:val="00F8543E"/>
    <w:rsid w:val="00F859D8"/>
    <w:rsid w:val="00F8600B"/>
    <w:rsid w:val="00F868F5"/>
    <w:rsid w:val="00F9056A"/>
    <w:rsid w:val="00F90F8D"/>
    <w:rsid w:val="00F92782"/>
    <w:rsid w:val="00F93311"/>
    <w:rsid w:val="00F93AA9"/>
    <w:rsid w:val="00F95557"/>
    <w:rsid w:val="00F95711"/>
    <w:rsid w:val="00F96985"/>
    <w:rsid w:val="00F97838"/>
    <w:rsid w:val="00F97B8A"/>
    <w:rsid w:val="00FA0241"/>
    <w:rsid w:val="00FA0ED6"/>
    <w:rsid w:val="00FA2BB3"/>
    <w:rsid w:val="00FA3750"/>
    <w:rsid w:val="00FA3919"/>
    <w:rsid w:val="00FA5E94"/>
    <w:rsid w:val="00FA64E3"/>
    <w:rsid w:val="00FA6B19"/>
    <w:rsid w:val="00FA6FCB"/>
    <w:rsid w:val="00FB4C80"/>
    <w:rsid w:val="00FB6A6A"/>
    <w:rsid w:val="00FB6C42"/>
    <w:rsid w:val="00FB6C5B"/>
    <w:rsid w:val="00FC3384"/>
    <w:rsid w:val="00FC7429"/>
    <w:rsid w:val="00FD010A"/>
    <w:rsid w:val="00FD07F6"/>
    <w:rsid w:val="00FD1EC8"/>
    <w:rsid w:val="00FD2C58"/>
    <w:rsid w:val="00FD47ED"/>
    <w:rsid w:val="00FD7253"/>
    <w:rsid w:val="00FD74DB"/>
    <w:rsid w:val="00FD7660"/>
    <w:rsid w:val="00FE0655"/>
    <w:rsid w:val="00FE06E5"/>
    <w:rsid w:val="00FE2365"/>
    <w:rsid w:val="00FE37D7"/>
    <w:rsid w:val="00FE4C7B"/>
    <w:rsid w:val="00FE7336"/>
    <w:rsid w:val="00FE787C"/>
    <w:rsid w:val="00FE7E58"/>
    <w:rsid w:val="00FF0EC1"/>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42E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0A42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2E5"/>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qFormat/>
    <w:rsid w:val="00BA7172"/>
    <w:rPr>
      <w:sz w:val="16"/>
      <w:szCs w:val="16"/>
    </w:rPr>
  </w:style>
  <w:style w:type="paragraph" w:styleId="CommentText">
    <w:name w:val="annotation text"/>
    <w:basedOn w:val="Normal"/>
    <w:link w:val="CommentTextChar"/>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basedOn w:val="DefaultParagraphFont"/>
    <w:link w:val="Heading1"/>
    <w:rsid w:val="004A3521"/>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link w:val="TACChar"/>
    <w:qFormat/>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qFormat/>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basedOn w:val="DefaultParagraphFont"/>
    <w:link w:val="Heading2"/>
    <w:rsid w:val="004A3521"/>
    <w:rPr>
      <w:rFonts w:ascii="Arial" w:hAnsi="Arial"/>
      <w:sz w:val="32"/>
      <w:lang w:eastAsia="ja-JP"/>
    </w:rPr>
  </w:style>
  <w:style w:type="character" w:customStyle="1" w:styleId="Heading3Char">
    <w:name w:val="Heading 3 Char"/>
    <w:basedOn w:val="DefaultParagraphFont"/>
    <w:link w:val="Heading3"/>
    <w:rsid w:val="004A3521"/>
    <w:rPr>
      <w:rFonts w:ascii="Arial" w:hAnsi="Arial"/>
      <w:sz w:val="28"/>
      <w:lang w:eastAsia="ja-JP"/>
    </w:rPr>
  </w:style>
  <w:style w:type="character" w:customStyle="1" w:styleId="Heading4Char">
    <w:name w:val="Heading 4 Char"/>
    <w:basedOn w:val="DefaultParagraphFont"/>
    <w:link w:val="Heading4"/>
    <w:rsid w:val="004A3521"/>
    <w:rPr>
      <w:rFonts w:ascii="Arial" w:hAnsi="Arial"/>
      <w:sz w:val="24"/>
      <w:lang w:eastAsia="ja-JP"/>
    </w:rPr>
  </w:style>
  <w:style w:type="character" w:customStyle="1" w:styleId="Heading5Char">
    <w:name w:val="Heading 5 Char"/>
    <w:basedOn w:val="DefaultParagraphFont"/>
    <w:link w:val="Heading5"/>
    <w:rsid w:val="004A3521"/>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basedOn w:val="DefaultParagraphFont"/>
    <w:link w:val="Heading6"/>
    <w:rsid w:val="004A3521"/>
    <w:rPr>
      <w:rFonts w:ascii="Arial" w:hAnsi="Arial"/>
      <w:lang w:eastAsia="ja-JP"/>
    </w:rPr>
  </w:style>
  <w:style w:type="character" w:customStyle="1" w:styleId="Heading7Char">
    <w:name w:val="Heading 7 Char"/>
    <w:basedOn w:val="DefaultParagraphFont"/>
    <w:link w:val="Heading7"/>
    <w:rsid w:val="004A3521"/>
    <w:rPr>
      <w:rFonts w:ascii="Arial" w:hAnsi="Arial"/>
      <w:lang w:eastAsia="ja-JP"/>
    </w:rPr>
  </w:style>
  <w:style w:type="character" w:customStyle="1" w:styleId="Heading8Char">
    <w:name w:val="Heading 8 Char"/>
    <w:basedOn w:val="DefaultParagraphFont"/>
    <w:link w:val="Heading8"/>
    <w:rsid w:val="004A3521"/>
    <w:rPr>
      <w:rFonts w:ascii="Arial" w:hAnsi="Arial"/>
      <w:sz w:val="36"/>
      <w:lang w:eastAsia="ja-JP"/>
    </w:rPr>
  </w:style>
  <w:style w:type="character" w:customStyle="1" w:styleId="Heading9Char">
    <w:name w:val="Heading 9 Char"/>
    <w:basedOn w:val="DefaultParagraphFont"/>
    <w:link w:val="Heading9"/>
    <w:rsid w:val="004A3521"/>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A7172"/>
    <w:rPr>
      <w:rFonts w:ascii="Calibri" w:eastAsia="Calibri" w:hAnsi="Calibri" w:cstheme="minorBid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qFormat/>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 w:val="22"/>
      <w:szCs w:val="22"/>
      <w:lang w:val="en-US"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22C41"/>
    <w:rPr>
      <w:lang w:val="en-GB"/>
    </w:rPr>
  </w:style>
  <w:style w:type="character" w:customStyle="1" w:styleId="TACChar">
    <w:name w:val="TAC Char"/>
    <w:link w:val="TAC"/>
    <w:qFormat/>
    <w:rsid w:val="00BC2C7A"/>
    <w:rPr>
      <w:rFonts w:ascii="Arial" w:hAnsi="Arial"/>
      <w:sz w:val="18"/>
      <w:lang w:val="x-none" w:eastAsia="x-none"/>
    </w:rPr>
  </w:style>
  <w:style w:type="character" w:styleId="PlaceholderText">
    <w:name w:val="Placeholder Text"/>
    <w:basedOn w:val="DefaultParagraphFont"/>
    <w:uiPriority w:val="99"/>
    <w:semiHidden/>
    <w:rsid w:val="005A053C"/>
    <w:rPr>
      <w:color w:val="808080"/>
    </w:rPr>
  </w:style>
  <w:style w:type="paragraph" w:customStyle="1" w:styleId="Definition">
    <w:name w:val="Definition"/>
    <w:basedOn w:val="Observation"/>
    <w:qFormat/>
    <w:rsid w:val="007F1E8A"/>
    <w:pPr>
      <w:ind w:left="1710" w:hanging="17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62653039">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305164724">
      <w:bodyDiv w:val="1"/>
      <w:marLeft w:val="0"/>
      <w:marRight w:val="0"/>
      <w:marTop w:val="0"/>
      <w:marBottom w:val="0"/>
      <w:divBdr>
        <w:top w:val="none" w:sz="0" w:space="0" w:color="auto"/>
        <w:left w:val="none" w:sz="0" w:space="0" w:color="auto"/>
        <w:bottom w:val="none" w:sz="0" w:space="0" w:color="auto"/>
        <w:right w:val="none" w:sz="0" w:space="0" w:color="auto"/>
      </w:divBdr>
    </w:div>
    <w:div w:id="405030063">
      <w:bodyDiv w:val="1"/>
      <w:marLeft w:val="0"/>
      <w:marRight w:val="0"/>
      <w:marTop w:val="0"/>
      <w:marBottom w:val="0"/>
      <w:divBdr>
        <w:top w:val="none" w:sz="0" w:space="0" w:color="auto"/>
        <w:left w:val="none" w:sz="0" w:space="0" w:color="auto"/>
        <w:bottom w:val="none" w:sz="0" w:space="0" w:color="auto"/>
        <w:right w:val="none" w:sz="0" w:space="0" w:color="auto"/>
      </w:divBdr>
    </w:div>
    <w:div w:id="522670629">
      <w:bodyDiv w:val="1"/>
      <w:marLeft w:val="0"/>
      <w:marRight w:val="0"/>
      <w:marTop w:val="0"/>
      <w:marBottom w:val="0"/>
      <w:divBdr>
        <w:top w:val="none" w:sz="0" w:space="0" w:color="auto"/>
        <w:left w:val="none" w:sz="0" w:space="0" w:color="auto"/>
        <w:bottom w:val="none" w:sz="0" w:space="0" w:color="auto"/>
        <w:right w:val="none" w:sz="0" w:space="0" w:color="auto"/>
      </w:divBdr>
    </w:div>
    <w:div w:id="589702447">
      <w:bodyDiv w:val="1"/>
      <w:marLeft w:val="0"/>
      <w:marRight w:val="0"/>
      <w:marTop w:val="0"/>
      <w:marBottom w:val="0"/>
      <w:divBdr>
        <w:top w:val="none" w:sz="0" w:space="0" w:color="auto"/>
        <w:left w:val="none" w:sz="0" w:space="0" w:color="auto"/>
        <w:bottom w:val="none" w:sz="0" w:space="0" w:color="auto"/>
        <w:right w:val="none" w:sz="0" w:space="0" w:color="auto"/>
      </w:divBdr>
    </w:div>
    <w:div w:id="63511281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61151005">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72500562">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08549828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209029030">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431201415">
      <w:bodyDiv w:val="1"/>
      <w:marLeft w:val="0"/>
      <w:marRight w:val="0"/>
      <w:marTop w:val="0"/>
      <w:marBottom w:val="0"/>
      <w:divBdr>
        <w:top w:val="none" w:sz="0" w:space="0" w:color="auto"/>
        <w:left w:val="none" w:sz="0" w:space="0" w:color="auto"/>
        <w:bottom w:val="none" w:sz="0" w:space="0" w:color="auto"/>
        <w:right w:val="none" w:sz="0" w:space="0" w:color="auto"/>
      </w:divBdr>
    </w:div>
    <w:div w:id="1450777661">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533298373">
      <w:bodyDiv w:val="1"/>
      <w:marLeft w:val="0"/>
      <w:marRight w:val="0"/>
      <w:marTop w:val="0"/>
      <w:marBottom w:val="0"/>
      <w:divBdr>
        <w:top w:val="none" w:sz="0" w:space="0" w:color="auto"/>
        <w:left w:val="none" w:sz="0" w:space="0" w:color="auto"/>
        <w:bottom w:val="none" w:sz="0" w:space="0" w:color="auto"/>
        <w:right w:val="none" w:sz="0" w:space="0" w:color="auto"/>
      </w:divBdr>
      <w:divsChild>
        <w:div w:id="108664105">
          <w:marLeft w:val="547"/>
          <w:marRight w:val="0"/>
          <w:marTop w:val="60"/>
          <w:marBottom w:val="0"/>
          <w:divBdr>
            <w:top w:val="none" w:sz="0" w:space="0" w:color="auto"/>
            <w:left w:val="none" w:sz="0" w:space="0" w:color="auto"/>
            <w:bottom w:val="none" w:sz="0" w:space="0" w:color="auto"/>
            <w:right w:val="none" w:sz="0" w:space="0" w:color="auto"/>
          </w:divBdr>
        </w:div>
        <w:div w:id="496071025">
          <w:marLeft w:val="1699"/>
          <w:marRight w:val="0"/>
          <w:marTop w:val="60"/>
          <w:marBottom w:val="0"/>
          <w:divBdr>
            <w:top w:val="none" w:sz="0" w:space="0" w:color="auto"/>
            <w:left w:val="none" w:sz="0" w:space="0" w:color="auto"/>
            <w:bottom w:val="none" w:sz="0" w:space="0" w:color="auto"/>
            <w:right w:val="none" w:sz="0" w:space="0" w:color="auto"/>
          </w:divBdr>
        </w:div>
        <w:div w:id="538205525">
          <w:marLeft w:val="1123"/>
          <w:marRight w:val="0"/>
          <w:marTop w:val="60"/>
          <w:marBottom w:val="0"/>
          <w:divBdr>
            <w:top w:val="none" w:sz="0" w:space="0" w:color="auto"/>
            <w:left w:val="none" w:sz="0" w:space="0" w:color="auto"/>
            <w:bottom w:val="none" w:sz="0" w:space="0" w:color="auto"/>
            <w:right w:val="none" w:sz="0" w:space="0" w:color="auto"/>
          </w:divBdr>
        </w:div>
        <w:div w:id="685909778">
          <w:marLeft w:val="1123"/>
          <w:marRight w:val="0"/>
          <w:marTop w:val="60"/>
          <w:marBottom w:val="0"/>
          <w:divBdr>
            <w:top w:val="none" w:sz="0" w:space="0" w:color="auto"/>
            <w:left w:val="none" w:sz="0" w:space="0" w:color="auto"/>
            <w:bottom w:val="none" w:sz="0" w:space="0" w:color="auto"/>
            <w:right w:val="none" w:sz="0" w:space="0" w:color="auto"/>
          </w:divBdr>
        </w:div>
        <w:div w:id="772482841">
          <w:marLeft w:val="1123"/>
          <w:marRight w:val="0"/>
          <w:marTop w:val="60"/>
          <w:marBottom w:val="0"/>
          <w:divBdr>
            <w:top w:val="none" w:sz="0" w:space="0" w:color="auto"/>
            <w:left w:val="none" w:sz="0" w:space="0" w:color="auto"/>
            <w:bottom w:val="none" w:sz="0" w:space="0" w:color="auto"/>
            <w:right w:val="none" w:sz="0" w:space="0" w:color="auto"/>
          </w:divBdr>
        </w:div>
        <w:div w:id="994643468">
          <w:marLeft w:val="547"/>
          <w:marRight w:val="0"/>
          <w:marTop w:val="60"/>
          <w:marBottom w:val="0"/>
          <w:divBdr>
            <w:top w:val="none" w:sz="0" w:space="0" w:color="auto"/>
            <w:left w:val="none" w:sz="0" w:space="0" w:color="auto"/>
            <w:bottom w:val="none" w:sz="0" w:space="0" w:color="auto"/>
            <w:right w:val="none" w:sz="0" w:space="0" w:color="auto"/>
          </w:divBdr>
        </w:div>
        <w:div w:id="1848324309">
          <w:marLeft w:val="547"/>
          <w:marRight w:val="0"/>
          <w:marTop w:val="60"/>
          <w:marBottom w:val="0"/>
          <w:divBdr>
            <w:top w:val="none" w:sz="0" w:space="0" w:color="auto"/>
            <w:left w:val="none" w:sz="0" w:space="0" w:color="auto"/>
            <w:bottom w:val="none" w:sz="0" w:space="0" w:color="auto"/>
            <w:right w:val="none" w:sz="0" w:space="0" w:color="auto"/>
          </w:divBdr>
        </w:div>
        <w:div w:id="1988901150">
          <w:marLeft w:val="1123"/>
          <w:marRight w:val="0"/>
          <w:marTop w:val="60"/>
          <w:marBottom w:val="0"/>
          <w:divBdr>
            <w:top w:val="none" w:sz="0" w:space="0" w:color="auto"/>
            <w:left w:val="none" w:sz="0" w:space="0" w:color="auto"/>
            <w:bottom w:val="none" w:sz="0" w:space="0" w:color="auto"/>
            <w:right w:val="none" w:sz="0" w:space="0" w:color="auto"/>
          </w:divBdr>
        </w:div>
        <w:div w:id="2004165254">
          <w:marLeft w:val="1123"/>
          <w:marRight w:val="0"/>
          <w:marTop w:val="60"/>
          <w:marBottom w:val="0"/>
          <w:divBdr>
            <w:top w:val="none" w:sz="0" w:space="0" w:color="auto"/>
            <w:left w:val="none" w:sz="0" w:space="0" w:color="auto"/>
            <w:bottom w:val="none" w:sz="0" w:space="0" w:color="auto"/>
            <w:right w:val="none" w:sz="0" w:space="0" w:color="auto"/>
          </w:divBdr>
        </w:div>
      </w:divsChild>
    </w:div>
    <w:div w:id="1651985384">
      <w:bodyDiv w:val="1"/>
      <w:marLeft w:val="0"/>
      <w:marRight w:val="0"/>
      <w:marTop w:val="0"/>
      <w:marBottom w:val="0"/>
      <w:divBdr>
        <w:top w:val="none" w:sz="0" w:space="0" w:color="auto"/>
        <w:left w:val="none" w:sz="0" w:space="0" w:color="auto"/>
        <w:bottom w:val="none" w:sz="0" w:space="0" w:color="auto"/>
        <w:right w:val="none" w:sz="0" w:space="0" w:color="auto"/>
      </w:divBdr>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676298329">
      <w:bodyDiv w:val="1"/>
      <w:marLeft w:val="0"/>
      <w:marRight w:val="0"/>
      <w:marTop w:val="0"/>
      <w:marBottom w:val="0"/>
      <w:divBdr>
        <w:top w:val="none" w:sz="0" w:space="0" w:color="auto"/>
        <w:left w:val="none" w:sz="0" w:space="0" w:color="auto"/>
        <w:bottom w:val="none" w:sz="0" w:space="0" w:color="auto"/>
        <w:right w:val="none" w:sz="0" w:space="0" w:color="auto"/>
      </w:divBdr>
    </w:div>
    <w:div w:id="178495982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40971918">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028174203">
      <w:bodyDiv w:val="1"/>
      <w:marLeft w:val="0"/>
      <w:marRight w:val="0"/>
      <w:marTop w:val="0"/>
      <w:marBottom w:val="0"/>
      <w:divBdr>
        <w:top w:val="none" w:sz="0" w:space="0" w:color="auto"/>
        <w:left w:val="none" w:sz="0" w:space="0" w:color="auto"/>
        <w:bottom w:val="none" w:sz="0" w:space="0" w:color="auto"/>
        <w:right w:val="none" w:sz="0" w:space="0" w:color="auto"/>
      </w:divBdr>
    </w:div>
    <w:div w:id="2039547479">
      <w:bodyDiv w:val="1"/>
      <w:marLeft w:val="0"/>
      <w:marRight w:val="0"/>
      <w:marTop w:val="0"/>
      <w:marBottom w:val="0"/>
      <w:divBdr>
        <w:top w:val="none" w:sz="0" w:space="0" w:color="auto"/>
        <w:left w:val="none" w:sz="0" w:space="0" w:color="auto"/>
        <w:bottom w:val="none" w:sz="0" w:space="0" w:color="auto"/>
        <w:right w:val="none" w:sz="0" w:space="0" w:color="auto"/>
      </w:divBdr>
    </w:div>
    <w:div w:id="2119761942">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55DDABEF-8F8C-4A12-B9C0-C98AE756467F}">
  <ds:schemaRefs>
    <ds:schemaRef ds:uri="9b239327-9e80-40e4-b1b7-4394fed77a3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56C7AF74-45B9-449E-9500-6C9514AA7399}">
  <ds:schemaRefs>
    <ds:schemaRef ds:uri="http://schemas.microsoft.com/sharepoint/v3/contenttype/forms"/>
  </ds:schemaRefs>
</ds:datastoreItem>
</file>

<file path=customXml/itemProps3.xml><?xml version="1.0" encoding="utf-8"?>
<ds:datastoreItem xmlns:ds="http://schemas.openxmlformats.org/officeDocument/2006/customXml" ds:itemID="{57A25205-8E50-44AC-8603-FDAEA4031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D8F338-8363-4D23-9240-2B035F0B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3920</Words>
  <Characters>21325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25195</CharactersWithSpaces>
  <SharedDoc>false</SharedDoc>
  <HLinks>
    <vt:vector size="102" baseType="variant">
      <vt:variant>
        <vt:i4>1572915</vt:i4>
      </vt:variant>
      <vt:variant>
        <vt:i4>131</vt:i4>
      </vt:variant>
      <vt:variant>
        <vt:i4>0</vt:i4>
      </vt:variant>
      <vt:variant>
        <vt:i4>5</vt:i4>
      </vt:variant>
      <vt:variant>
        <vt:lpwstr/>
      </vt:variant>
      <vt:variant>
        <vt:lpwstr>_Toc16683372</vt:lpwstr>
      </vt:variant>
      <vt:variant>
        <vt:i4>1769523</vt:i4>
      </vt:variant>
      <vt:variant>
        <vt:i4>128</vt:i4>
      </vt:variant>
      <vt:variant>
        <vt:i4>0</vt:i4>
      </vt:variant>
      <vt:variant>
        <vt:i4>5</vt:i4>
      </vt:variant>
      <vt:variant>
        <vt:lpwstr/>
      </vt:variant>
      <vt:variant>
        <vt:lpwstr>_Toc16683371</vt:lpwstr>
      </vt:variant>
      <vt:variant>
        <vt:i4>1703987</vt:i4>
      </vt:variant>
      <vt:variant>
        <vt:i4>125</vt:i4>
      </vt:variant>
      <vt:variant>
        <vt:i4>0</vt:i4>
      </vt:variant>
      <vt:variant>
        <vt:i4>5</vt:i4>
      </vt:variant>
      <vt:variant>
        <vt:lpwstr/>
      </vt:variant>
      <vt:variant>
        <vt:lpwstr>_Toc16683370</vt:lpwstr>
      </vt:variant>
      <vt:variant>
        <vt:i4>1245234</vt:i4>
      </vt:variant>
      <vt:variant>
        <vt:i4>122</vt:i4>
      </vt:variant>
      <vt:variant>
        <vt:i4>0</vt:i4>
      </vt:variant>
      <vt:variant>
        <vt:i4>5</vt:i4>
      </vt:variant>
      <vt:variant>
        <vt:lpwstr/>
      </vt:variant>
      <vt:variant>
        <vt:lpwstr>_Toc16683369</vt:lpwstr>
      </vt:variant>
      <vt:variant>
        <vt:i4>1179698</vt:i4>
      </vt:variant>
      <vt:variant>
        <vt:i4>119</vt:i4>
      </vt:variant>
      <vt:variant>
        <vt:i4>0</vt:i4>
      </vt:variant>
      <vt:variant>
        <vt:i4>5</vt:i4>
      </vt:variant>
      <vt:variant>
        <vt:lpwstr/>
      </vt:variant>
      <vt:variant>
        <vt:lpwstr>_Toc16683368</vt:lpwstr>
      </vt:variant>
      <vt:variant>
        <vt:i4>1900594</vt:i4>
      </vt:variant>
      <vt:variant>
        <vt:i4>116</vt:i4>
      </vt:variant>
      <vt:variant>
        <vt:i4>0</vt:i4>
      </vt:variant>
      <vt:variant>
        <vt:i4>5</vt:i4>
      </vt:variant>
      <vt:variant>
        <vt:lpwstr/>
      </vt:variant>
      <vt:variant>
        <vt:lpwstr>_Toc16683367</vt:lpwstr>
      </vt:variant>
      <vt:variant>
        <vt:i4>1835058</vt:i4>
      </vt:variant>
      <vt:variant>
        <vt:i4>113</vt:i4>
      </vt:variant>
      <vt:variant>
        <vt:i4>0</vt:i4>
      </vt:variant>
      <vt:variant>
        <vt:i4>5</vt:i4>
      </vt:variant>
      <vt:variant>
        <vt:lpwstr/>
      </vt:variant>
      <vt:variant>
        <vt:lpwstr>_Toc16683366</vt:lpwstr>
      </vt:variant>
      <vt:variant>
        <vt:i4>2031666</vt:i4>
      </vt:variant>
      <vt:variant>
        <vt:i4>107</vt:i4>
      </vt:variant>
      <vt:variant>
        <vt:i4>0</vt:i4>
      </vt:variant>
      <vt:variant>
        <vt:i4>5</vt:i4>
      </vt:variant>
      <vt:variant>
        <vt:lpwstr/>
      </vt:variant>
      <vt:variant>
        <vt:lpwstr>_Toc16683365</vt:lpwstr>
      </vt:variant>
      <vt:variant>
        <vt:i4>1966130</vt:i4>
      </vt:variant>
      <vt:variant>
        <vt:i4>104</vt:i4>
      </vt:variant>
      <vt:variant>
        <vt:i4>0</vt:i4>
      </vt:variant>
      <vt:variant>
        <vt:i4>5</vt:i4>
      </vt:variant>
      <vt:variant>
        <vt:lpwstr/>
      </vt:variant>
      <vt:variant>
        <vt:lpwstr>_Toc16683364</vt:lpwstr>
      </vt:variant>
      <vt:variant>
        <vt:i4>1638450</vt:i4>
      </vt:variant>
      <vt:variant>
        <vt:i4>101</vt:i4>
      </vt:variant>
      <vt:variant>
        <vt:i4>0</vt:i4>
      </vt:variant>
      <vt:variant>
        <vt:i4>5</vt:i4>
      </vt:variant>
      <vt:variant>
        <vt:lpwstr/>
      </vt:variant>
      <vt:variant>
        <vt:lpwstr>_Toc16683363</vt:lpwstr>
      </vt:variant>
      <vt:variant>
        <vt:i4>1572914</vt:i4>
      </vt:variant>
      <vt:variant>
        <vt:i4>98</vt:i4>
      </vt:variant>
      <vt:variant>
        <vt:i4>0</vt:i4>
      </vt:variant>
      <vt:variant>
        <vt:i4>5</vt:i4>
      </vt:variant>
      <vt:variant>
        <vt:lpwstr/>
      </vt:variant>
      <vt:variant>
        <vt:lpwstr>_Toc16683362</vt:lpwstr>
      </vt:variant>
      <vt:variant>
        <vt:i4>1769522</vt:i4>
      </vt:variant>
      <vt:variant>
        <vt:i4>95</vt:i4>
      </vt:variant>
      <vt:variant>
        <vt:i4>0</vt:i4>
      </vt:variant>
      <vt:variant>
        <vt:i4>5</vt:i4>
      </vt:variant>
      <vt:variant>
        <vt:lpwstr/>
      </vt:variant>
      <vt:variant>
        <vt:lpwstr>_Toc16683361</vt:lpwstr>
      </vt:variant>
      <vt:variant>
        <vt:i4>1703986</vt:i4>
      </vt:variant>
      <vt:variant>
        <vt:i4>92</vt:i4>
      </vt:variant>
      <vt:variant>
        <vt:i4>0</vt:i4>
      </vt:variant>
      <vt:variant>
        <vt:i4>5</vt:i4>
      </vt:variant>
      <vt:variant>
        <vt:lpwstr/>
      </vt:variant>
      <vt:variant>
        <vt:lpwstr>_Toc16683360</vt:lpwstr>
      </vt:variant>
      <vt:variant>
        <vt:i4>1245233</vt:i4>
      </vt:variant>
      <vt:variant>
        <vt:i4>89</vt:i4>
      </vt:variant>
      <vt:variant>
        <vt:i4>0</vt:i4>
      </vt:variant>
      <vt:variant>
        <vt:i4>5</vt:i4>
      </vt:variant>
      <vt:variant>
        <vt:lpwstr/>
      </vt:variant>
      <vt:variant>
        <vt:lpwstr>_Toc16683359</vt:lpwstr>
      </vt:variant>
      <vt:variant>
        <vt:i4>1179697</vt:i4>
      </vt:variant>
      <vt:variant>
        <vt:i4>86</vt:i4>
      </vt:variant>
      <vt:variant>
        <vt:i4>0</vt:i4>
      </vt:variant>
      <vt:variant>
        <vt:i4>5</vt:i4>
      </vt:variant>
      <vt:variant>
        <vt:lpwstr/>
      </vt:variant>
      <vt:variant>
        <vt:lpwstr>_Toc16683358</vt:lpwstr>
      </vt:variant>
      <vt:variant>
        <vt:i4>1900593</vt:i4>
      </vt:variant>
      <vt:variant>
        <vt:i4>83</vt:i4>
      </vt:variant>
      <vt:variant>
        <vt:i4>0</vt:i4>
      </vt:variant>
      <vt:variant>
        <vt:i4>5</vt:i4>
      </vt:variant>
      <vt:variant>
        <vt:lpwstr/>
      </vt:variant>
      <vt:variant>
        <vt:lpwstr>_Toc16683357</vt:lpwstr>
      </vt:variant>
      <vt:variant>
        <vt:i4>1835057</vt:i4>
      </vt:variant>
      <vt:variant>
        <vt:i4>80</vt:i4>
      </vt:variant>
      <vt:variant>
        <vt:i4>0</vt:i4>
      </vt:variant>
      <vt:variant>
        <vt:i4>5</vt:i4>
      </vt:variant>
      <vt:variant>
        <vt:lpwstr/>
      </vt:variant>
      <vt:variant>
        <vt:lpwstr>_Toc16683356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2019-03-30T06:01:00Z</dcterms:created>
  <dcterms:modified xsi:type="dcterms:W3CDTF">2019-08-17T05:24:00Z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2">
    <vt:lpwstr>198</vt:lpwstr>
  </property>
</Properties>
</file>